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7842F8" w14:textId="77777777" w:rsidR="006556FC" w:rsidRPr="00E15112" w:rsidRDefault="006556FC" w:rsidP="006556FC">
      <w:pPr>
        <w:spacing w:line="240" w:lineRule="auto"/>
        <w:rPr>
          <w:rFonts w:cs="Arial"/>
          <w:color w:val="000000"/>
          <w:sz w:val="24"/>
          <w:szCs w:val="24"/>
        </w:rPr>
      </w:pPr>
      <w:r w:rsidRPr="00E15112">
        <w:rPr>
          <w:rFonts w:cs="Arial"/>
          <w:b/>
          <w:bCs/>
          <w:i/>
          <w:iCs/>
          <w:color w:val="000000"/>
          <w:sz w:val="24"/>
          <w:szCs w:val="24"/>
        </w:rPr>
        <w:t>Duurzamere luchtbehandeling in gebouwen</w:t>
      </w:r>
    </w:p>
    <w:p w14:paraId="7CADE5E1" w14:textId="77777777" w:rsidR="006556FC" w:rsidRPr="0031411A" w:rsidRDefault="006556FC" w:rsidP="006556FC">
      <w:pPr>
        <w:spacing w:line="240" w:lineRule="auto"/>
        <w:rPr>
          <w:rFonts w:cs="Arial"/>
          <w:color w:val="000000"/>
        </w:rPr>
      </w:pPr>
    </w:p>
    <w:p w14:paraId="3658D503" w14:textId="77777777" w:rsidR="006556FC" w:rsidRPr="0031411A" w:rsidRDefault="006556FC" w:rsidP="006556FC">
      <w:pPr>
        <w:spacing w:line="240" w:lineRule="auto"/>
        <w:rPr>
          <w:rFonts w:cs="Arial"/>
          <w:color w:val="000000"/>
        </w:rPr>
      </w:pPr>
      <w:r w:rsidRPr="0031411A">
        <w:rPr>
          <w:rFonts w:cs="Arial"/>
          <w:b/>
          <w:bCs/>
          <w:i/>
          <w:iCs/>
          <w:color w:val="000000"/>
          <w:shd w:val="clear" w:color="auto" w:fill="FFFFFF"/>
        </w:rPr>
        <w:t>Op grond van het bouwbesluit moet bij elke aanvraag om een vergunning voor het bouwen van woningen en van kantoren met een gebruiksoppervlak groter dan 100 m</w:t>
      </w:r>
      <w:r w:rsidRPr="0031411A">
        <w:rPr>
          <w:rFonts w:cs="Arial"/>
          <w:b/>
          <w:bCs/>
          <w:i/>
          <w:iCs/>
          <w:color w:val="000000"/>
          <w:shd w:val="clear" w:color="auto" w:fill="FFFFFF"/>
          <w:vertAlign w:val="superscript"/>
        </w:rPr>
        <w:t xml:space="preserve">2 </w:t>
      </w:r>
      <w:r w:rsidRPr="0031411A">
        <w:rPr>
          <w:rFonts w:cs="Arial"/>
          <w:b/>
          <w:bCs/>
          <w:i/>
          <w:iCs/>
          <w:color w:val="000000"/>
          <w:shd w:val="clear" w:color="auto" w:fill="FFFFFF"/>
        </w:rPr>
        <w:t>een milieuprestatieberekening worden bijgevoegd. Deze berekening bepaalt op een eenduidige en controleerbare wijze de milieubelasting van het gebouw in €/m</w:t>
      </w:r>
      <w:r w:rsidRPr="0031411A">
        <w:rPr>
          <w:rFonts w:cs="Arial"/>
          <w:b/>
          <w:bCs/>
          <w:i/>
          <w:iCs/>
          <w:color w:val="000000"/>
          <w:shd w:val="clear" w:color="auto" w:fill="FFFFFF"/>
          <w:vertAlign w:val="superscript"/>
        </w:rPr>
        <w:t>2</w:t>
      </w:r>
      <w:r w:rsidRPr="0031411A">
        <w:rPr>
          <w:rFonts w:cs="Arial"/>
          <w:b/>
          <w:bCs/>
          <w:i/>
          <w:iCs/>
          <w:color w:val="000000"/>
          <w:shd w:val="clear" w:color="auto" w:fill="FFFFFF"/>
        </w:rPr>
        <w:t xml:space="preserve"> per jaar.</w:t>
      </w:r>
    </w:p>
    <w:p w14:paraId="08F099B4" w14:textId="77777777" w:rsidR="006556FC" w:rsidRPr="0031411A" w:rsidRDefault="006556FC" w:rsidP="006556FC">
      <w:pPr>
        <w:spacing w:line="240" w:lineRule="auto"/>
        <w:rPr>
          <w:rFonts w:cs="Arial"/>
          <w:color w:val="000000"/>
        </w:rPr>
      </w:pPr>
    </w:p>
    <w:p w14:paraId="1145380E" w14:textId="77777777" w:rsidR="006556FC" w:rsidRPr="0031411A" w:rsidRDefault="006556FC" w:rsidP="006556FC">
      <w:pPr>
        <w:rPr>
          <w:rFonts w:cs="Arial"/>
        </w:rPr>
      </w:pPr>
      <w:r w:rsidRPr="0031411A">
        <w:rPr>
          <w:rFonts w:cs="Arial"/>
          <w:b/>
          <w:bCs/>
          <w:i/>
          <w:iCs/>
        </w:rPr>
        <w:t>De Vereniging Leveranciers luchttechnische Apparaten (VLA) heeft voor de luchtbehandelingskasten die haar leden produceren de milieuprestatie over de hele levenscyclus (Life Cycle Assesment) in beeld gebracht. Deze milieuprestatie is opgenomen in de nationale milieudatabase. De VLA loopt hiermee vooruit op verwachte wettelijke eisen en geeft ontwerpers de mogelijkheid om integraal duurzamer te gaan ontwerpen en is hiermee koploper in de installatiesector.</w:t>
      </w:r>
    </w:p>
    <w:p w14:paraId="27842444" w14:textId="77777777" w:rsidR="00E6449F" w:rsidRPr="0031411A" w:rsidRDefault="00E6449F" w:rsidP="008A7A34">
      <w:pPr>
        <w:rPr>
          <w:rFonts w:cs="Arial"/>
        </w:rPr>
      </w:pPr>
    </w:p>
    <w:p w14:paraId="136FFA81" w14:textId="77777777" w:rsidR="00E6449F" w:rsidRPr="0031411A" w:rsidRDefault="00E6449F" w:rsidP="008A7A34">
      <w:pPr>
        <w:rPr>
          <w:b/>
          <w:i/>
        </w:rPr>
      </w:pPr>
      <w:r w:rsidRPr="0031411A">
        <w:rPr>
          <w:b/>
          <w:i/>
        </w:rPr>
        <w:t>Milieuprestatie bepalen</w:t>
      </w:r>
    </w:p>
    <w:p w14:paraId="49E9EA60" w14:textId="77777777" w:rsidR="00E6449F" w:rsidRPr="0031411A" w:rsidRDefault="00E6449F" w:rsidP="008A7A34">
      <w:r w:rsidRPr="0031411A">
        <w:t>De milieuprestatie van de luchtbehandelingskasten is onderzocht middels een LCA. Tijdens deze studie is de milieubelasting van alle materiaalstromen en de productie in beeld gebracht, maar ook de milieubelasting tijdens de levensduur ten gevolge van onderhoud en de uiteindelijke afvalfase van de luchtbehandelingskast.</w:t>
      </w:r>
      <w:r w:rsidR="00695D1A" w:rsidRPr="0031411A">
        <w:t xml:space="preserve"> De milieuprestatie is bepaald op basis van de Europese norm EN 15.804 en de Nederlandse implementatie hiervan in de Nationale bepalingsmethode milieuprestatie gebouwen en GWW werken. De milieuprestatie van de luchtbehandelingskasten is opgenomen in de nationale milieudatabase en kan worden uitgegeven als een environmental product declaration (EPD).</w:t>
      </w:r>
    </w:p>
    <w:p w14:paraId="2DD1319A" w14:textId="77777777" w:rsidR="00EF2CCF" w:rsidRPr="0031411A" w:rsidRDefault="00EF2CCF" w:rsidP="008A7A34"/>
    <w:p w14:paraId="4D68BAC9" w14:textId="77777777" w:rsidR="00EF2CCF" w:rsidRPr="0031411A" w:rsidRDefault="00EF2CCF" w:rsidP="008A7A34">
      <w:pPr>
        <w:rPr>
          <w:b/>
          <w:i/>
        </w:rPr>
      </w:pPr>
      <w:r w:rsidRPr="0031411A">
        <w:rPr>
          <w:b/>
          <w:i/>
        </w:rPr>
        <w:t>Referentie luchtbehandelingskast</w:t>
      </w:r>
    </w:p>
    <w:p w14:paraId="3A4B57AE" w14:textId="79243C96" w:rsidR="00E15112" w:rsidRPr="00E15112" w:rsidRDefault="00EF2CCF" w:rsidP="008A7A34">
      <w:r w:rsidRPr="0031411A">
        <w:t>Een luchtbehandelingskast is een samengesteld product van diverse technische componenten in een behuizing die per project op maat wordt samengesteld. Voor dit project is op basis van de kennis en erva</w:t>
      </w:r>
      <w:r w:rsidR="0051797D" w:rsidRPr="0031411A">
        <w:t>ring van de VLA bedrijven</w:t>
      </w:r>
      <w:r w:rsidR="00E15112">
        <w:t xml:space="preserve"> </w:t>
      </w:r>
      <w:r w:rsidR="0051797D" w:rsidRPr="0031411A">
        <w:t xml:space="preserve"> en een analyse van gerealiseerde projecten afgelopen jaren een referentie samengesteld.</w:t>
      </w:r>
    </w:p>
    <w:p w14:paraId="2D59633E" w14:textId="77777777" w:rsidR="00E15112" w:rsidRDefault="00E15112" w:rsidP="008A7A34"/>
    <w:p w14:paraId="45D282B1" w14:textId="776F8BE8" w:rsidR="0051797D" w:rsidRPr="0031411A" w:rsidRDefault="00E15112" w:rsidP="008A7A34">
      <w:r>
        <w:rPr>
          <w:noProof/>
          <w:lang w:val="en-US" w:eastAsia="en-US"/>
        </w:rPr>
        <w:drawing>
          <wp:inline distT="0" distB="0" distL="0" distR="0" wp14:anchorId="3AA905E6" wp14:editId="5592BB31">
            <wp:extent cx="5757545" cy="3208655"/>
            <wp:effectExtent l="25400" t="25400" r="33655" b="17145"/>
            <wp:docPr id="7" name="Picture 7" descr="DEF%20kruis%20metaaluni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F%20kruis%20metaalunie.p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7545" cy="3208655"/>
                    </a:xfrm>
                    <a:prstGeom prst="rect">
                      <a:avLst/>
                    </a:prstGeom>
                    <a:noFill/>
                    <a:ln>
                      <a:solidFill>
                        <a:schemeClr val="tx1"/>
                      </a:solidFill>
                    </a:ln>
                    <a:effectLst/>
                  </pic:spPr>
                </pic:pic>
              </a:graphicData>
            </a:graphic>
          </wp:inline>
        </w:drawing>
      </w:r>
    </w:p>
    <w:p w14:paraId="2A1E8B3F" w14:textId="7392C03E" w:rsidR="00E15112" w:rsidRDefault="00E15112" w:rsidP="008A7A34">
      <w:r w:rsidRPr="0031411A">
        <w:rPr>
          <w:noProof/>
          <w:lang w:val="en-US" w:eastAsia="en-US"/>
        </w:rPr>
        <mc:AlternateContent>
          <mc:Choice Requires="wps">
            <w:drawing>
              <wp:anchor distT="0" distB="0" distL="114300" distR="114300" simplePos="0" relativeHeight="251660288" behindDoc="0" locked="0" layoutInCell="1" allowOverlap="1" wp14:anchorId="260E419C" wp14:editId="08BCFF17">
                <wp:simplePos x="0" y="0"/>
                <wp:positionH relativeFrom="column">
                  <wp:posOffset>635</wp:posOffset>
                </wp:positionH>
                <wp:positionV relativeFrom="paragraph">
                  <wp:posOffset>74295</wp:posOffset>
                </wp:positionV>
                <wp:extent cx="3310255" cy="175260"/>
                <wp:effectExtent l="0" t="0" r="0" b="0"/>
                <wp:wrapSquare wrapText="bothSides"/>
                <wp:docPr id="2" name="Tekstvak 2"/>
                <wp:cNvGraphicFramePr/>
                <a:graphic xmlns:a="http://schemas.openxmlformats.org/drawingml/2006/main">
                  <a:graphicData uri="http://schemas.microsoft.com/office/word/2010/wordprocessingShape">
                    <wps:wsp>
                      <wps:cNvSpPr txBox="1"/>
                      <wps:spPr>
                        <a:xfrm>
                          <a:off x="0" y="0"/>
                          <a:ext cx="3310255" cy="175260"/>
                        </a:xfrm>
                        <a:prstGeom prst="rect">
                          <a:avLst/>
                        </a:prstGeom>
                        <a:solidFill>
                          <a:prstClr val="white"/>
                        </a:solidFill>
                        <a:ln>
                          <a:noFill/>
                        </a:ln>
                        <a:effectLst/>
                      </wps:spPr>
                      <wps:txbx>
                        <w:txbxContent>
                          <w:p w14:paraId="30A18A33" w14:textId="77777777" w:rsidR="006556FC" w:rsidRPr="00073F8E" w:rsidRDefault="006556FC" w:rsidP="00E46ECC">
                            <w:pPr>
                              <w:pStyle w:val="Caption"/>
                            </w:pPr>
                            <w:r>
                              <w:t xml:space="preserve">Figuur </w:t>
                            </w:r>
                            <w:r w:rsidR="006C36E0">
                              <w:fldChar w:fldCharType="begin"/>
                            </w:r>
                            <w:r w:rsidR="006C36E0">
                              <w:instrText xml:space="preserve"> SEQ Figuur \* ARABIC </w:instrText>
                            </w:r>
                            <w:r w:rsidR="006C36E0">
                              <w:fldChar w:fldCharType="separate"/>
                            </w:r>
                            <w:r>
                              <w:rPr>
                                <w:noProof/>
                              </w:rPr>
                              <w:t>1</w:t>
                            </w:r>
                            <w:r w:rsidR="006C36E0">
                              <w:rPr>
                                <w:noProof/>
                              </w:rPr>
                              <w:fldChar w:fldCharType="end"/>
                            </w:r>
                            <w:r>
                              <w:t xml:space="preserve"> principeschema kruisstroom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60E419C" id="_x0000_t202" coordsize="21600,21600" o:spt="202" path="m0,0l0,21600,21600,21600,21600,0xe">
                <v:stroke joinstyle="miter"/>
                <v:path gradientshapeok="t" o:connecttype="rect"/>
              </v:shapetype>
              <v:shape id="Tekstvak 2" o:spid="_x0000_s1026" type="#_x0000_t202" style="position:absolute;margin-left:.05pt;margin-top:5.85pt;width:260.65pt;height:13.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" stroked="f">
                <v:textbox style="mso-fit-shape-to-text:t" inset="0,0,0,0">
                  <w:txbxContent>
                    <w:p w14:paraId="30A18A33" w14:textId="77777777" w:rsidR="006556FC" w:rsidRPr="00073F8E" w:rsidRDefault="006556FC" w:rsidP="00E46ECC">
                      <w:pPr>
                        <w:pStyle w:val="Caption"/>
                      </w:pPr>
                      <w:r>
                        <w:t xml:space="preserve">Figuur </w:t>
                      </w:r>
                      <w:r w:rsidR="006C36E0">
                        <w:fldChar w:fldCharType="begin"/>
                      </w:r>
                      <w:r w:rsidR="006C36E0">
                        <w:instrText xml:space="preserve"> SEQ Figuur \* ARABIC </w:instrText>
                      </w:r>
                      <w:r w:rsidR="006C36E0">
                        <w:fldChar w:fldCharType="separate"/>
                      </w:r>
                      <w:r>
                        <w:rPr>
                          <w:noProof/>
                        </w:rPr>
                        <w:t>1</w:t>
                      </w:r>
                      <w:r w:rsidR="006C36E0">
                        <w:rPr>
                          <w:noProof/>
                        </w:rPr>
                        <w:fldChar w:fldCharType="end"/>
                      </w:r>
                      <w:r>
                        <w:t xml:space="preserve"> principeschema kruisstroom</w:t>
                      </w:r>
                    </w:p>
                  </w:txbxContent>
                </v:textbox>
                <w10:wrap type="square"/>
              </v:shape>
            </w:pict>
          </mc:Fallback>
        </mc:AlternateContent>
      </w:r>
      <w:r w:rsidR="0051797D" w:rsidRPr="0031411A">
        <w:t xml:space="preserve"> </w:t>
      </w:r>
    </w:p>
    <w:p w14:paraId="37EC99B1" w14:textId="1ECB2D3A" w:rsidR="00E46ECC" w:rsidRPr="0031411A" w:rsidRDefault="0051797D" w:rsidP="008A7A34">
      <w:r w:rsidRPr="0031411A">
        <w:lastRenderedPageBreak/>
        <w:t xml:space="preserve">De basis voor de referentie bestaat uit een luchtbehandelingskast geschikt voor het verwarmen en koelen van de lucht. (1) Een tweede variant gaat alleen uit van de afvoer van </w:t>
      </w:r>
      <w:r w:rsidR="009D32D4" w:rsidRPr="0031411A">
        <w:t>ruimte</w:t>
      </w:r>
      <w:r w:rsidRPr="0031411A">
        <w:t xml:space="preserve">lucht (2). In de huidige praktijk van bouwen wordt echter voor een gezond binnenklimaat en een duurzame luchtbehandeling gewerkt met systemen met een balansventilatie en warmte terugwinning vanuit de retourlucht naar de aangezogen buitenlucht. Deze warmteterugwinning hebben we in twee systemen gevat; warmtewiel (3) en kruisstroomwisselaar (4). Elke referentie is vastgelegd in een principeschema (zie </w:t>
      </w:r>
      <w:r w:rsidR="009D32D4" w:rsidRPr="0031411A">
        <w:t>figuur</w:t>
      </w:r>
      <w:r w:rsidRPr="0031411A">
        <w:t xml:space="preserve"> 1).</w:t>
      </w:r>
      <w:r w:rsidR="000C009B" w:rsidRPr="0031411A">
        <w:t xml:space="preserve"> </w:t>
      </w:r>
    </w:p>
    <w:p w14:paraId="0AD0E988" w14:textId="39A749FA" w:rsidR="00E46ECC" w:rsidRPr="0031411A" w:rsidRDefault="00E46ECC" w:rsidP="008A7A34"/>
    <w:p w14:paraId="0B9BABCD" w14:textId="030F38A2" w:rsidR="00EF2CCF" w:rsidRPr="0031411A" w:rsidRDefault="000C009B" w:rsidP="008A7A34">
      <w:r w:rsidRPr="0031411A">
        <w:t>Een luchtbehandelingskast wordt ontworpen voor een bepaald debiet aan lucht. Op basis van de gerealiseerde projecten bij de VLA bedrijv</w:t>
      </w:r>
      <w:r w:rsidR="00327726" w:rsidRPr="0031411A">
        <w:t>en is een indeling gemaakt van de range van debieten van 2.500 tot 100.000 m</w:t>
      </w:r>
      <w:r w:rsidR="00327726" w:rsidRPr="0031411A">
        <w:rPr>
          <w:vertAlign w:val="superscript"/>
        </w:rPr>
        <w:t>3</w:t>
      </w:r>
      <w:r w:rsidR="00327726" w:rsidRPr="0031411A">
        <w:t xml:space="preserve">/h. Binnen deze ranges is een materialisatie gemaakt van alle vier de type kasten. </w:t>
      </w:r>
    </w:p>
    <w:p w14:paraId="093D95E1" w14:textId="77777777" w:rsidR="006556FC" w:rsidRPr="0031411A" w:rsidRDefault="006556FC" w:rsidP="008A7A34">
      <w:pPr>
        <w:rPr>
          <w:b/>
          <w:i/>
        </w:rPr>
      </w:pPr>
    </w:p>
    <w:p w14:paraId="1AAB86F9" w14:textId="77777777" w:rsidR="00327726" w:rsidRPr="0031411A" w:rsidRDefault="00327726" w:rsidP="008A7A34">
      <w:pPr>
        <w:rPr>
          <w:b/>
          <w:i/>
        </w:rPr>
      </w:pPr>
      <w:r w:rsidRPr="0031411A">
        <w:rPr>
          <w:b/>
          <w:i/>
        </w:rPr>
        <w:t>Optimalisatie ontwerp</w:t>
      </w:r>
    </w:p>
    <w:p w14:paraId="4165B4B5" w14:textId="77777777" w:rsidR="00695D1A" w:rsidRPr="0031411A" w:rsidRDefault="00327726" w:rsidP="008A7A34">
      <w:r w:rsidRPr="0031411A">
        <w:t xml:space="preserve">In het proces van materialisatie (engineering) van de referentiekasten is veel aandacht besteed aan de kwalitatieve standaard van de referentie. De VLA heeft gekozen voor een robuust ontwerp met een levensduur van 25 jaar en de toepassing van hoogwaardige componenten. Over de levensduur van 25 jaar is het onderhoud inclusief vervanging van slijtdelen bepaald. </w:t>
      </w:r>
    </w:p>
    <w:p w14:paraId="75D24AB5" w14:textId="77777777" w:rsidR="00327726" w:rsidRPr="0031411A" w:rsidRDefault="00327726" w:rsidP="008A7A34"/>
    <w:p w14:paraId="1F89027C" w14:textId="77777777" w:rsidR="00327726" w:rsidRPr="0031411A" w:rsidRDefault="00327726" w:rsidP="008A7A34">
      <w:pPr>
        <w:rPr>
          <w:b/>
          <w:i/>
        </w:rPr>
      </w:pPr>
      <w:r w:rsidRPr="0031411A">
        <w:rPr>
          <w:b/>
          <w:i/>
        </w:rPr>
        <w:t>LCA onderzoek</w:t>
      </w:r>
    </w:p>
    <w:p w14:paraId="663104EB" w14:textId="77777777" w:rsidR="009D08AF" w:rsidRPr="0031411A" w:rsidRDefault="00807AB9" w:rsidP="008A7A34">
      <w:r w:rsidRPr="0031411A">
        <w:t xml:space="preserve">De door de VLA bepaalde referentiekasten vormen de zogenaamde functionele eenheid van het LCA onderzoek dat door Stichting Adviescentrum Metaal is uitgevoerd. </w:t>
      </w:r>
      <w:r w:rsidR="00C65F40" w:rsidRPr="0031411A">
        <w:t>Op basis van deze functionele eenheid is een inventarisatie gedaan naar de specifieke productiegegevens, zoals</w:t>
      </w:r>
      <w:r w:rsidR="00A06B99" w:rsidRPr="0031411A">
        <w:t xml:space="preserve"> onder meer </w:t>
      </w:r>
      <w:r w:rsidR="00C65F40" w:rsidRPr="0031411A">
        <w:t xml:space="preserve"> inkoop, energieverbruik en productiegegevens  van de VLA leden</w:t>
      </w:r>
      <w:r w:rsidR="00EA1B89" w:rsidRPr="0031411A">
        <w:rPr>
          <w:rStyle w:val="FootnoteReference"/>
        </w:rPr>
        <w:footnoteReference w:id="1"/>
      </w:r>
      <w:r w:rsidR="00A06B99" w:rsidRPr="0031411A">
        <w:t xml:space="preserve"> Van deze inventarisatie is een gewogen (naar volume) branchegemiddelde inventarisatie gemaakt die feitelijk beschrijft hoe elke referentiekast tot stand komt. Met welke materialen, van welke herkomst, welke onderdelen, hoe het geproduceerd wordt etc. </w:t>
      </w:r>
    </w:p>
    <w:p w14:paraId="01969C38" w14:textId="77777777" w:rsidR="009D08AF" w:rsidRPr="0031411A" w:rsidRDefault="009D08AF" w:rsidP="008A7A34"/>
    <w:p w14:paraId="09F3B297" w14:textId="77777777" w:rsidR="009D08AF" w:rsidRPr="0031411A" w:rsidRDefault="00A06B99" w:rsidP="008A7A34">
      <w:r w:rsidRPr="0031411A">
        <w:t xml:space="preserve">Van deze inventarisatie is met het LCA onderzoek de milieubelasting bepaald. In het LCA onderzoek is onderscheid gemaakt naar de productie van de kasten, het onderhoud inclusief vervanging gedurende de levensduur van 25 jaar en uiteindelijk de sloop en de afvalfase van de kasten. </w:t>
      </w:r>
    </w:p>
    <w:p w14:paraId="6516FEB5" w14:textId="77777777" w:rsidR="009D08AF" w:rsidRPr="0031411A" w:rsidRDefault="009D08AF" w:rsidP="008A7A34"/>
    <w:p w14:paraId="3E363F68" w14:textId="77777777" w:rsidR="00695D1A" w:rsidRPr="0031411A" w:rsidRDefault="00A06B99" w:rsidP="008A7A34">
      <w:r w:rsidRPr="0031411A">
        <w:t>Uit een LCA onderzoek volgen resultaten naar verschillende milieueffectcategorieën, de bekendste hiervan is waarschijnlijk klimaatverandering</w:t>
      </w:r>
      <w:r w:rsidR="009D08AF" w:rsidRPr="0031411A">
        <w:t xml:space="preserve"> in CO</w:t>
      </w:r>
      <w:r w:rsidR="009D08AF" w:rsidRPr="0031411A">
        <w:rPr>
          <w:vertAlign w:val="subscript"/>
        </w:rPr>
        <w:t>2</w:t>
      </w:r>
      <w:r w:rsidR="009D08AF" w:rsidRPr="0031411A">
        <w:t xml:space="preserve"> equivalenten</w:t>
      </w:r>
      <w:r w:rsidRPr="0031411A">
        <w:t>.</w:t>
      </w:r>
      <w:r w:rsidR="009D08AF" w:rsidRPr="0031411A">
        <w:t xml:space="preserve"> Deze milieueffectcategorieën zijn voorgeschreven in de bepalingsmethode milieuprestatie gebouwen en GWW werken.</w:t>
      </w:r>
      <w:r w:rsidRPr="0031411A">
        <w:t xml:space="preserve"> In </w:t>
      </w:r>
      <w:r w:rsidR="00E46ECC" w:rsidRPr="0031411A">
        <w:t>figuur</w:t>
      </w:r>
      <w:r w:rsidRPr="0031411A">
        <w:t xml:space="preserve"> 2 is een overzicht opgenomen van de</w:t>
      </w:r>
      <w:r w:rsidR="009D08AF" w:rsidRPr="0031411A">
        <w:t>ze</w:t>
      </w:r>
      <w:r w:rsidRPr="0031411A">
        <w:t xml:space="preserve"> in Nederland voorgeschreven effectcategorieën die berekend zijn.</w:t>
      </w:r>
      <w:r w:rsidR="009D08AF" w:rsidRPr="0031411A">
        <w:t xml:space="preserve"> </w:t>
      </w:r>
      <w:r w:rsidR="009D32D4" w:rsidRPr="0031411A">
        <w:t>Zoals zichtbaar gaat het om</w:t>
      </w:r>
      <w:r w:rsidR="009D08AF" w:rsidRPr="0031411A">
        <w:t xml:space="preserve"> milieueffecten met zeer uiteenlopende eenheden die allemaal voortkomen uit de wetenschappelijke methode om het milieueffect te berekenen.</w:t>
      </w:r>
    </w:p>
    <w:p w14:paraId="422B4C40" w14:textId="77777777" w:rsidR="00A06B99" w:rsidRPr="0031411A" w:rsidRDefault="00A06B99" w:rsidP="008A7A34"/>
    <w:p w14:paraId="12191A6E" w14:textId="77777777" w:rsidR="00E46ECC" w:rsidRPr="0031411A" w:rsidRDefault="00E46ECC" w:rsidP="00E46ECC">
      <w:pPr>
        <w:keepNext/>
      </w:pPr>
      <w:r w:rsidRPr="0031411A">
        <w:rPr>
          <w:noProof/>
          <w:lang w:val="en-US" w:eastAsia="en-US"/>
        </w:rPr>
        <w:lastRenderedPageBreak/>
        <w:drawing>
          <wp:inline distT="0" distB="0" distL="0" distR="0" wp14:anchorId="7465EA48" wp14:editId="04D9B330">
            <wp:extent cx="5760085" cy="238823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085" cy="2388235"/>
                    </a:xfrm>
                    <a:prstGeom prst="rect">
                      <a:avLst/>
                    </a:prstGeom>
                  </pic:spPr>
                </pic:pic>
              </a:graphicData>
            </a:graphic>
          </wp:inline>
        </w:drawing>
      </w:r>
    </w:p>
    <w:p w14:paraId="6817A601" w14:textId="77777777" w:rsidR="00A06B99" w:rsidRPr="0031411A" w:rsidRDefault="00E46ECC" w:rsidP="00E46ECC">
      <w:pPr>
        <w:pStyle w:val="Caption"/>
      </w:pPr>
      <w:r w:rsidRPr="0031411A">
        <w:t xml:space="preserve">Figuur </w:t>
      </w:r>
      <w:r w:rsidR="006C36E0">
        <w:fldChar w:fldCharType="begin"/>
      </w:r>
      <w:r w:rsidR="006C36E0">
        <w:instrText xml:space="preserve"> SEQ Figuur \* ARABIC </w:instrText>
      </w:r>
      <w:r w:rsidR="006C36E0">
        <w:fldChar w:fldCharType="separate"/>
      </w:r>
      <w:r w:rsidRPr="0031411A">
        <w:rPr>
          <w:noProof/>
        </w:rPr>
        <w:t>2</w:t>
      </w:r>
      <w:r w:rsidR="006C36E0">
        <w:rPr>
          <w:noProof/>
        </w:rPr>
        <w:fldChar w:fldCharType="end"/>
      </w:r>
      <w:r w:rsidRPr="0031411A">
        <w:t xml:space="preserve"> effect categorieën en schaduwprijzen uit bepalingsmethode milieuprestatie gebouwen en GWW werken</w:t>
      </w:r>
    </w:p>
    <w:p w14:paraId="6E486F78" w14:textId="77777777" w:rsidR="00A06B99" w:rsidRPr="0031411A" w:rsidRDefault="00A06B99" w:rsidP="008A7A34"/>
    <w:p w14:paraId="6BE93924" w14:textId="77777777" w:rsidR="00695D1A" w:rsidRPr="0031411A" w:rsidRDefault="00A06B99" w:rsidP="008A7A34">
      <w:r w:rsidRPr="0031411A">
        <w:t xml:space="preserve">In deze </w:t>
      </w:r>
      <w:r w:rsidR="009D08AF" w:rsidRPr="0031411A">
        <w:t>figuur</w:t>
      </w:r>
      <w:r w:rsidRPr="0031411A">
        <w:t xml:space="preserve"> is tevens een </w:t>
      </w:r>
      <w:r w:rsidR="009D08AF" w:rsidRPr="0031411A">
        <w:t>‘</w:t>
      </w:r>
      <w:r w:rsidRPr="0031411A">
        <w:t>schaduwprijs</w:t>
      </w:r>
      <w:r w:rsidR="009D08AF" w:rsidRPr="0031411A">
        <w:t>’</w:t>
      </w:r>
      <w:r w:rsidRPr="0031411A">
        <w:t xml:space="preserve"> per milieueffect opgenomen. Deze weegfactor wordt gebruikt </w:t>
      </w:r>
      <w:r w:rsidR="00703282" w:rsidRPr="0031411A">
        <w:t>om de verschillende milieueffecten</w:t>
      </w:r>
      <w:r w:rsidR="009D08AF" w:rsidRPr="0031411A">
        <w:t xml:space="preserve"> met hun eigen eenheden</w:t>
      </w:r>
      <w:r w:rsidR="00703282" w:rsidRPr="0031411A">
        <w:t xml:space="preserve"> te vertalen naar een eenpuntscore</w:t>
      </w:r>
      <w:r w:rsidR="009D08AF" w:rsidRPr="0031411A">
        <w:t xml:space="preserve"> (€)</w:t>
      </w:r>
      <w:r w:rsidR="00703282" w:rsidRPr="0031411A">
        <w:t xml:space="preserve"> die hanteerbaar is in een ontwerpfase van een gebouw. </w:t>
      </w:r>
    </w:p>
    <w:p w14:paraId="6D41FF4E" w14:textId="77777777" w:rsidR="00703282" w:rsidRPr="0031411A" w:rsidRDefault="00703282" w:rsidP="008A7A34"/>
    <w:p w14:paraId="17EC3C77" w14:textId="77777777" w:rsidR="00A06B99" w:rsidRPr="0031411A" w:rsidRDefault="00A06B99" w:rsidP="008A7A34">
      <w:pPr>
        <w:rPr>
          <w:b/>
          <w:i/>
        </w:rPr>
      </w:pPr>
      <w:r w:rsidRPr="0031411A">
        <w:rPr>
          <w:b/>
          <w:i/>
        </w:rPr>
        <w:t>Resultaten milieuprestatie</w:t>
      </w:r>
    </w:p>
    <w:p w14:paraId="5CD84EB6" w14:textId="77777777" w:rsidR="00A32771" w:rsidRPr="0031411A" w:rsidRDefault="00703282" w:rsidP="008A7A34">
      <w:r w:rsidRPr="0031411A">
        <w:t xml:space="preserve">In </w:t>
      </w:r>
      <w:r w:rsidR="009D08AF" w:rsidRPr="0031411A">
        <w:t>tabel 1</w:t>
      </w:r>
      <w:r w:rsidRPr="0031411A">
        <w:t xml:space="preserve"> zijn de resultaten van de LCA studie in absolute zin opgenomen voor de 4 referentiekasten naar 4 referentiedebieten. De resultaten zijn opgenomen als totale schaduwkosten</w:t>
      </w:r>
      <w:r w:rsidR="00A32771" w:rsidRPr="0031411A">
        <w:t xml:space="preserve"> (de milieueffecten vermenigvuldigd met de weegfactoren uit figuur 2)</w:t>
      </w:r>
      <w:r w:rsidRPr="0031411A">
        <w:t xml:space="preserve"> over de gehele levensduur van 25 jaar.</w:t>
      </w:r>
      <w:r w:rsidR="00A32771" w:rsidRPr="0031411A">
        <w:t xml:space="preserve"> In de tabel is een</w:t>
      </w:r>
      <w:r w:rsidR="009D32D4" w:rsidRPr="0031411A">
        <w:t xml:space="preserve"> kleuren</w:t>
      </w:r>
      <w:r w:rsidR="00A32771" w:rsidRPr="0031411A">
        <w:t>schaal aangebracht die het getal duidt tussen de laagste (groen) en de hoogste (rood) waarde uit de tabel.</w:t>
      </w:r>
    </w:p>
    <w:p w14:paraId="71507FC5" w14:textId="77777777" w:rsidR="00A32771" w:rsidRPr="0031411A" w:rsidRDefault="00012D70" w:rsidP="008A7A34">
      <w:r w:rsidRPr="0031411A">
        <w:t xml:space="preserve"> </w:t>
      </w:r>
    </w:p>
    <w:p w14:paraId="384298BC" w14:textId="77777777" w:rsidR="00E6449F" w:rsidRPr="0031411A" w:rsidRDefault="00012D70" w:rsidP="008A7A34">
      <w:r w:rsidRPr="0031411A">
        <w:t xml:space="preserve">Uit deze </w:t>
      </w:r>
      <w:r w:rsidR="00A32771" w:rsidRPr="0031411A">
        <w:t>tabel</w:t>
      </w:r>
      <w:r w:rsidRPr="0031411A">
        <w:t xml:space="preserve"> blijkt duidelijk dat er sprake is van toenemende sch</w:t>
      </w:r>
      <w:r w:rsidR="009616DD" w:rsidRPr="0031411A">
        <w:t>aduwkosten</w:t>
      </w:r>
      <w:r w:rsidR="00A32771" w:rsidRPr="0031411A">
        <w:t xml:space="preserve"> (van groen naar rood)</w:t>
      </w:r>
      <w:r w:rsidR="009616DD" w:rsidRPr="0031411A">
        <w:t xml:space="preserve"> bij grotere debieten, tevens nemen de schaduwkosten toe met de complexiteit van de installatie. Zo heeft duidelijk de kruisstroomwisselaar de hoogste schaduwkosten door de a</w:t>
      </w:r>
      <w:r w:rsidR="009D32D4" w:rsidRPr="0031411A">
        <w:t xml:space="preserve">anwezigheid van een </w:t>
      </w:r>
      <w:r w:rsidR="009616DD" w:rsidRPr="0031411A">
        <w:t>wisselaar</w:t>
      </w:r>
      <w:r w:rsidR="009D32D4" w:rsidRPr="0031411A">
        <w:t xml:space="preserve"> met grote massa</w:t>
      </w:r>
      <w:r w:rsidR="009616DD" w:rsidRPr="0031411A">
        <w:t>.</w:t>
      </w:r>
    </w:p>
    <w:p w14:paraId="6DEA3AFD" w14:textId="77777777" w:rsidR="009D08AF" w:rsidRPr="0031411A" w:rsidRDefault="009D08AF" w:rsidP="008A7A34"/>
    <w:p w14:paraId="4DE5DBD1" w14:textId="77777777" w:rsidR="00A32771" w:rsidRPr="0031411A" w:rsidRDefault="00A32771" w:rsidP="00A32771">
      <w:pPr>
        <w:pStyle w:val="Caption"/>
        <w:keepNext/>
      </w:pPr>
      <w:r w:rsidRPr="0031411A">
        <w:t xml:space="preserve">Tabel </w:t>
      </w:r>
      <w:r w:rsidR="006C36E0">
        <w:fldChar w:fldCharType="begin"/>
      </w:r>
      <w:r w:rsidR="006C36E0">
        <w:instrText xml:space="preserve"> SEQ Tabel \* ARABIC </w:instrText>
      </w:r>
      <w:r w:rsidR="006C36E0">
        <w:fldChar w:fldCharType="separate"/>
      </w:r>
      <w:r w:rsidR="006556FC" w:rsidRPr="0031411A">
        <w:rPr>
          <w:noProof/>
        </w:rPr>
        <w:t>1</w:t>
      </w:r>
      <w:r w:rsidR="006C36E0">
        <w:rPr>
          <w:noProof/>
        </w:rPr>
        <w:fldChar w:fldCharType="end"/>
      </w:r>
      <w:r w:rsidRPr="0031411A">
        <w:t xml:space="preserve"> Totale schaduwprijs per installatie over 25 jaar</w:t>
      </w:r>
    </w:p>
    <w:tbl>
      <w:tblPr>
        <w:tblW w:w="6720" w:type="dxa"/>
        <w:tblCellMar>
          <w:left w:w="70" w:type="dxa"/>
          <w:right w:w="70" w:type="dxa"/>
        </w:tblCellMar>
        <w:tblLook w:val="04A0" w:firstRow="1" w:lastRow="0" w:firstColumn="1" w:lastColumn="0" w:noHBand="0" w:noVBand="1"/>
      </w:tblPr>
      <w:tblGrid>
        <w:gridCol w:w="1820"/>
        <w:gridCol w:w="1220"/>
        <w:gridCol w:w="1220"/>
        <w:gridCol w:w="1220"/>
        <w:gridCol w:w="1240"/>
      </w:tblGrid>
      <w:tr w:rsidR="009D08AF" w:rsidRPr="0031411A" w14:paraId="0341B483" w14:textId="77777777" w:rsidTr="009D08AF">
        <w:trPr>
          <w:trHeight w:val="290"/>
        </w:trPr>
        <w:tc>
          <w:tcPr>
            <w:tcW w:w="1820" w:type="dxa"/>
            <w:tcBorders>
              <w:top w:val="nil"/>
              <w:left w:val="nil"/>
              <w:bottom w:val="nil"/>
              <w:right w:val="nil"/>
            </w:tcBorders>
            <w:shd w:val="clear" w:color="000000" w:fill="00B0F0"/>
            <w:noWrap/>
            <w:vAlign w:val="bottom"/>
            <w:hideMark/>
          </w:tcPr>
          <w:p w14:paraId="062ECDF3" w14:textId="77777777" w:rsidR="009D08AF" w:rsidRPr="0031411A" w:rsidRDefault="009D08AF" w:rsidP="009D08AF">
            <w:pPr>
              <w:spacing w:line="240" w:lineRule="auto"/>
              <w:rPr>
                <w:rFonts w:cs="Arial"/>
                <w:b/>
                <w:bCs/>
                <w:color w:val="000000"/>
                <w:sz w:val="16"/>
                <w:szCs w:val="16"/>
              </w:rPr>
            </w:pPr>
            <w:r w:rsidRPr="0031411A">
              <w:rPr>
                <w:rFonts w:cs="Arial"/>
                <w:b/>
                <w:bCs/>
                <w:color w:val="000000"/>
                <w:sz w:val="16"/>
                <w:szCs w:val="16"/>
              </w:rPr>
              <w:t>Totaal</w:t>
            </w:r>
          </w:p>
        </w:tc>
        <w:tc>
          <w:tcPr>
            <w:tcW w:w="1220" w:type="dxa"/>
            <w:tcBorders>
              <w:top w:val="nil"/>
              <w:left w:val="nil"/>
              <w:bottom w:val="nil"/>
              <w:right w:val="nil"/>
            </w:tcBorders>
            <w:shd w:val="clear" w:color="000000" w:fill="00B0F0"/>
            <w:noWrap/>
            <w:vAlign w:val="bottom"/>
            <w:hideMark/>
          </w:tcPr>
          <w:p w14:paraId="4C9FA1C4" w14:textId="77777777" w:rsidR="009D08AF" w:rsidRPr="0031411A" w:rsidRDefault="009D08AF" w:rsidP="009D08AF">
            <w:pPr>
              <w:spacing w:line="240" w:lineRule="auto"/>
              <w:rPr>
                <w:rFonts w:cs="Arial"/>
                <w:color w:val="000000"/>
                <w:sz w:val="16"/>
                <w:szCs w:val="16"/>
              </w:rPr>
            </w:pPr>
            <w:r w:rsidRPr="0031411A">
              <w:rPr>
                <w:rFonts w:cs="Arial"/>
                <w:color w:val="000000"/>
                <w:sz w:val="16"/>
                <w:szCs w:val="16"/>
              </w:rPr>
              <w:t> </w:t>
            </w:r>
          </w:p>
        </w:tc>
        <w:tc>
          <w:tcPr>
            <w:tcW w:w="1220" w:type="dxa"/>
            <w:tcBorders>
              <w:top w:val="nil"/>
              <w:left w:val="nil"/>
              <w:bottom w:val="nil"/>
              <w:right w:val="nil"/>
            </w:tcBorders>
            <w:shd w:val="clear" w:color="000000" w:fill="00B0F0"/>
            <w:noWrap/>
            <w:vAlign w:val="bottom"/>
            <w:hideMark/>
          </w:tcPr>
          <w:p w14:paraId="230DC8C7" w14:textId="77777777" w:rsidR="009D08AF" w:rsidRPr="0031411A" w:rsidRDefault="009D08AF" w:rsidP="009D08AF">
            <w:pPr>
              <w:spacing w:line="240" w:lineRule="auto"/>
              <w:rPr>
                <w:rFonts w:cs="Arial"/>
                <w:color w:val="000000"/>
                <w:sz w:val="16"/>
                <w:szCs w:val="16"/>
              </w:rPr>
            </w:pPr>
            <w:r w:rsidRPr="0031411A">
              <w:rPr>
                <w:rFonts w:cs="Arial"/>
                <w:color w:val="000000"/>
                <w:sz w:val="16"/>
                <w:szCs w:val="16"/>
              </w:rPr>
              <w:t> </w:t>
            </w:r>
          </w:p>
        </w:tc>
        <w:tc>
          <w:tcPr>
            <w:tcW w:w="1220" w:type="dxa"/>
            <w:tcBorders>
              <w:top w:val="nil"/>
              <w:left w:val="nil"/>
              <w:bottom w:val="nil"/>
              <w:right w:val="nil"/>
            </w:tcBorders>
            <w:shd w:val="clear" w:color="000000" w:fill="00B0F0"/>
            <w:noWrap/>
            <w:vAlign w:val="bottom"/>
            <w:hideMark/>
          </w:tcPr>
          <w:p w14:paraId="62DC3556" w14:textId="77777777" w:rsidR="009D08AF" w:rsidRPr="0031411A" w:rsidRDefault="009D08AF" w:rsidP="009D08AF">
            <w:pPr>
              <w:spacing w:line="240" w:lineRule="auto"/>
              <w:rPr>
                <w:rFonts w:cs="Arial"/>
                <w:color w:val="000000"/>
                <w:sz w:val="16"/>
                <w:szCs w:val="16"/>
              </w:rPr>
            </w:pPr>
            <w:r w:rsidRPr="0031411A">
              <w:rPr>
                <w:rFonts w:cs="Arial"/>
                <w:color w:val="000000"/>
                <w:sz w:val="16"/>
                <w:szCs w:val="16"/>
              </w:rPr>
              <w:t> </w:t>
            </w:r>
          </w:p>
        </w:tc>
        <w:tc>
          <w:tcPr>
            <w:tcW w:w="1240" w:type="dxa"/>
            <w:tcBorders>
              <w:top w:val="nil"/>
              <w:left w:val="nil"/>
              <w:bottom w:val="nil"/>
              <w:right w:val="nil"/>
            </w:tcBorders>
            <w:shd w:val="clear" w:color="000000" w:fill="00B0F0"/>
            <w:noWrap/>
            <w:vAlign w:val="bottom"/>
            <w:hideMark/>
          </w:tcPr>
          <w:p w14:paraId="34F7032D" w14:textId="77777777" w:rsidR="009D08AF" w:rsidRPr="0031411A" w:rsidRDefault="009D08AF" w:rsidP="009D08AF">
            <w:pPr>
              <w:spacing w:line="240" w:lineRule="auto"/>
              <w:rPr>
                <w:rFonts w:cs="Arial"/>
                <w:color w:val="000000"/>
                <w:sz w:val="16"/>
                <w:szCs w:val="16"/>
              </w:rPr>
            </w:pPr>
            <w:r w:rsidRPr="0031411A">
              <w:rPr>
                <w:rFonts w:cs="Arial"/>
                <w:color w:val="000000"/>
                <w:sz w:val="16"/>
                <w:szCs w:val="16"/>
              </w:rPr>
              <w:t> </w:t>
            </w:r>
          </w:p>
        </w:tc>
      </w:tr>
      <w:tr w:rsidR="009D08AF" w:rsidRPr="0031411A" w14:paraId="7427706C" w14:textId="77777777" w:rsidTr="009D08AF">
        <w:trPr>
          <w:trHeight w:val="290"/>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B6ACEE" w14:textId="77777777" w:rsidR="009D08AF" w:rsidRPr="0031411A" w:rsidRDefault="009D08AF" w:rsidP="009D08AF">
            <w:pPr>
              <w:spacing w:line="240" w:lineRule="auto"/>
              <w:rPr>
                <w:rFonts w:cs="Arial"/>
                <w:color w:val="000000"/>
                <w:sz w:val="16"/>
                <w:szCs w:val="16"/>
              </w:rPr>
            </w:pPr>
            <w:r w:rsidRPr="0031411A">
              <w:rPr>
                <w:rFonts w:cs="Arial"/>
                <w:color w:val="000000"/>
                <w:sz w:val="16"/>
                <w:szCs w:val="16"/>
              </w:rPr>
              <w:t>Debiet \ Kasttype</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14:paraId="1D14E7CE" w14:textId="77777777" w:rsidR="009D08AF" w:rsidRPr="0031411A" w:rsidRDefault="009D08AF" w:rsidP="009D08AF">
            <w:pPr>
              <w:spacing w:line="240" w:lineRule="auto"/>
              <w:rPr>
                <w:rFonts w:cs="Arial"/>
                <w:color w:val="000000"/>
                <w:sz w:val="16"/>
                <w:szCs w:val="16"/>
              </w:rPr>
            </w:pPr>
            <w:r w:rsidRPr="0031411A">
              <w:rPr>
                <w:rFonts w:cs="Arial"/>
                <w:color w:val="000000"/>
                <w:sz w:val="16"/>
                <w:szCs w:val="16"/>
              </w:rPr>
              <w:t>toevoer</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14:paraId="460D7CED" w14:textId="77777777" w:rsidR="009D08AF" w:rsidRPr="0031411A" w:rsidRDefault="009D08AF" w:rsidP="009D08AF">
            <w:pPr>
              <w:spacing w:line="240" w:lineRule="auto"/>
              <w:rPr>
                <w:rFonts w:cs="Arial"/>
                <w:color w:val="000000"/>
                <w:sz w:val="16"/>
                <w:szCs w:val="16"/>
              </w:rPr>
            </w:pPr>
            <w:r w:rsidRPr="0031411A">
              <w:rPr>
                <w:rFonts w:cs="Arial"/>
                <w:color w:val="000000"/>
                <w:sz w:val="16"/>
                <w:szCs w:val="16"/>
              </w:rPr>
              <w:t>afvoer</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14:paraId="0E7E7C69" w14:textId="77777777" w:rsidR="009D08AF" w:rsidRPr="0031411A" w:rsidRDefault="009D08AF" w:rsidP="009D08AF">
            <w:pPr>
              <w:spacing w:line="240" w:lineRule="auto"/>
              <w:rPr>
                <w:rFonts w:cs="Arial"/>
                <w:color w:val="000000"/>
                <w:sz w:val="16"/>
                <w:szCs w:val="16"/>
              </w:rPr>
            </w:pPr>
            <w:r w:rsidRPr="0031411A">
              <w:rPr>
                <w:rFonts w:cs="Arial"/>
                <w:color w:val="000000"/>
                <w:sz w:val="16"/>
                <w:szCs w:val="16"/>
              </w:rPr>
              <w:t>warmtewiel</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14:paraId="25777DF2" w14:textId="77777777" w:rsidR="009D08AF" w:rsidRPr="0031411A" w:rsidRDefault="009D08AF" w:rsidP="009D08AF">
            <w:pPr>
              <w:spacing w:line="240" w:lineRule="auto"/>
              <w:rPr>
                <w:rFonts w:cs="Arial"/>
                <w:color w:val="000000"/>
                <w:sz w:val="16"/>
                <w:szCs w:val="16"/>
              </w:rPr>
            </w:pPr>
            <w:r w:rsidRPr="0031411A">
              <w:rPr>
                <w:rFonts w:cs="Arial"/>
                <w:color w:val="000000"/>
                <w:sz w:val="16"/>
                <w:szCs w:val="16"/>
              </w:rPr>
              <w:t>kruisstroom</w:t>
            </w:r>
          </w:p>
        </w:tc>
      </w:tr>
      <w:tr w:rsidR="009D08AF" w:rsidRPr="0031411A" w14:paraId="29495311" w14:textId="77777777" w:rsidTr="009D08AF">
        <w:trPr>
          <w:trHeight w:val="29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2810D253" w14:textId="77777777" w:rsidR="009D08AF" w:rsidRPr="0031411A" w:rsidRDefault="009D08AF" w:rsidP="009D08AF">
            <w:pPr>
              <w:spacing w:line="240" w:lineRule="auto"/>
              <w:jc w:val="right"/>
              <w:rPr>
                <w:rFonts w:cs="Arial"/>
                <w:color w:val="000000"/>
                <w:sz w:val="16"/>
                <w:szCs w:val="16"/>
              </w:rPr>
            </w:pPr>
            <w:r w:rsidRPr="0031411A">
              <w:rPr>
                <w:rFonts w:cs="Arial"/>
                <w:color w:val="000000"/>
                <w:sz w:val="16"/>
                <w:szCs w:val="16"/>
              </w:rPr>
              <w:t>2500</w:t>
            </w:r>
            <w:r w:rsidR="00A32771" w:rsidRPr="0031411A">
              <w:rPr>
                <w:rFonts w:cs="Arial"/>
                <w:color w:val="000000"/>
                <w:sz w:val="16"/>
                <w:szCs w:val="16"/>
              </w:rPr>
              <w:t xml:space="preserve"> m</w:t>
            </w:r>
            <w:r w:rsidR="00A32771" w:rsidRPr="0031411A">
              <w:rPr>
                <w:rFonts w:cs="Arial"/>
                <w:color w:val="000000"/>
                <w:sz w:val="16"/>
                <w:szCs w:val="16"/>
                <w:vertAlign w:val="superscript"/>
              </w:rPr>
              <w:t>3</w:t>
            </w:r>
            <w:r w:rsidR="00A32771" w:rsidRPr="0031411A">
              <w:rPr>
                <w:rFonts w:cs="Arial"/>
                <w:color w:val="000000"/>
                <w:sz w:val="16"/>
                <w:szCs w:val="16"/>
              </w:rPr>
              <w:t xml:space="preserve"> /h</w:t>
            </w:r>
          </w:p>
        </w:tc>
        <w:tc>
          <w:tcPr>
            <w:tcW w:w="1220" w:type="dxa"/>
            <w:tcBorders>
              <w:top w:val="single" w:sz="4" w:space="0" w:color="auto"/>
              <w:left w:val="single" w:sz="4" w:space="0" w:color="auto"/>
              <w:bottom w:val="nil"/>
              <w:right w:val="nil"/>
            </w:tcBorders>
            <w:shd w:val="clear" w:color="000000" w:fill="8AC97D"/>
            <w:noWrap/>
            <w:vAlign w:val="bottom"/>
            <w:hideMark/>
          </w:tcPr>
          <w:p w14:paraId="286193FE" w14:textId="77777777" w:rsidR="009D08AF" w:rsidRPr="0031411A" w:rsidRDefault="009D08AF" w:rsidP="009D08AF">
            <w:pPr>
              <w:spacing w:line="240" w:lineRule="auto"/>
              <w:jc w:val="right"/>
              <w:rPr>
                <w:rFonts w:cs="Arial"/>
                <w:color w:val="000000"/>
                <w:sz w:val="16"/>
                <w:szCs w:val="16"/>
              </w:rPr>
            </w:pPr>
            <w:r w:rsidRPr="0031411A">
              <w:rPr>
                <w:rFonts w:cs="Arial"/>
                <w:color w:val="000000"/>
                <w:sz w:val="16"/>
                <w:szCs w:val="16"/>
              </w:rPr>
              <w:t xml:space="preserve">€ 344,76 </w:t>
            </w:r>
          </w:p>
        </w:tc>
        <w:tc>
          <w:tcPr>
            <w:tcW w:w="1220" w:type="dxa"/>
            <w:tcBorders>
              <w:top w:val="single" w:sz="4" w:space="0" w:color="auto"/>
              <w:left w:val="nil"/>
              <w:bottom w:val="nil"/>
              <w:right w:val="nil"/>
            </w:tcBorders>
            <w:shd w:val="clear" w:color="000000" w:fill="63BE7B"/>
            <w:noWrap/>
            <w:vAlign w:val="bottom"/>
            <w:hideMark/>
          </w:tcPr>
          <w:p w14:paraId="427748F2" w14:textId="77777777" w:rsidR="009D08AF" w:rsidRPr="0031411A" w:rsidRDefault="009D08AF" w:rsidP="009D08AF">
            <w:pPr>
              <w:spacing w:line="240" w:lineRule="auto"/>
              <w:jc w:val="right"/>
              <w:rPr>
                <w:rFonts w:cs="Arial"/>
                <w:color w:val="000000"/>
                <w:sz w:val="16"/>
                <w:szCs w:val="16"/>
              </w:rPr>
            </w:pPr>
            <w:r w:rsidRPr="0031411A">
              <w:rPr>
                <w:rFonts w:cs="Arial"/>
                <w:color w:val="000000"/>
                <w:sz w:val="16"/>
                <w:szCs w:val="16"/>
              </w:rPr>
              <w:t xml:space="preserve">€ 93,30 </w:t>
            </w:r>
          </w:p>
        </w:tc>
        <w:tc>
          <w:tcPr>
            <w:tcW w:w="1220" w:type="dxa"/>
            <w:tcBorders>
              <w:top w:val="single" w:sz="4" w:space="0" w:color="auto"/>
              <w:left w:val="nil"/>
              <w:bottom w:val="nil"/>
              <w:right w:val="nil"/>
            </w:tcBorders>
            <w:shd w:val="clear" w:color="000000" w:fill="A8D17E"/>
            <w:noWrap/>
            <w:vAlign w:val="bottom"/>
            <w:hideMark/>
          </w:tcPr>
          <w:p w14:paraId="7536454D" w14:textId="77777777" w:rsidR="009D08AF" w:rsidRPr="0031411A" w:rsidRDefault="009D08AF" w:rsidP="009D08AF">
            <w:pPr>
              <w:spacing w:line="240" w:lineRule="auto"/>
              <w:jc w:val="right"/>
              <w:rPr>
                <w:rFonts w:cs="Arial"/>
                <w:color w:val="000000"/>
                <w:sz w:val="16"/>
                <w:szCs w:val="16"/>
              </w:rPr>
            </w:pPr>
            <w:r w:rsidRPr="0031411A">
              <w:rPr>
                <w:rFonts w:cs="Arial"/>
                <w:color w:val="000000"/>
                <w:sz w:val="16"/>
                <w:szCs w:val="16"/>
              </w:rPr>
              <w:t xml:space="preserve">€ 538,08 </w:t>
            </w:r>
          </w:p>
        </w:tc>
        <w:tc>
          <w:tcPr>
            <w:tcW w:w="1240" w:type="dxa"/>
            <w:tcBorders>
              <w:top w:val="single" w:sz="4" w:space="0" w:color="auto"/>
              <w:left w:val="nil"/>
              <w:bottom w:val="nil"/>
              <w:right w:val="single" w:sz="4" w:space="0" w:color="auto"/>
            </w:tcBorders>
            <w:shd w:val="clear" w:color="000000" w:fill="ABD27F"/>
            <w:noWrap/>
            <w:vAlign w:val="bottom"/>
            <w:hideMark/>
          </w:tcPr>
          <w:p w14:paraId="3E0D8F90" w14:textId="77777777" w:rsidR="009D08AF" w:rsidRPr="0031411A" w:rsidRDefault="009D08AF" w:rsidP="009D08AF">
            <w:pPr>
              <w:spacing w:line="240" w:lineRule="auto"/>
              <w:jc w:val="right"/>
              <w:rPr>
                <w:rFonts w:cs="Arial"/>
                <w:color w:val="000000"/>
                <w:sz w:val="16"/>
                <w:szCs w:val="16"/>
              </w:rPr>
            </w:pPr>
            <w:r w:rsidRPr="0031411A">
              <w:rPr>
                <w:rFonts w:cs="Arial"/>
                <w:color w:val="000000"/>
                <w:sz w:val="16"/>
                <w:szCs w:val="16"/>
              </w:rPr>
              <w:t xml:space="preserve">€ 556,72 </w:t>
            </w:r>
          </w:p>
        </w:tc>
      </w:tr>
      <w:tr w:rsidR="009D08AF" w:rsidRPr="0031411A" w14:paraId="003F6839" w14:textId="77777777" w:rsidTr="009D08AF">
        <w:trPr>
          <w:trHeight w:val="29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7D047F26" w14:textId="77777777" w:rsidR="009D08AF" w:rsidRPr="0031411A" w:rsidRDefault="009D08AF" w:rsidP="009D08AF">
            <w:pPr>
              <w:spacing w:line="240" w:lineRule="auto"/>
              <w:jc w:val="right"/>
              <w:rPr>
                <w:rFonts w:cs="Arial"/>
                <w:color w:val="000000"/>
                <w:sz w:val="16"/>
                <w:szCs w:val="16"/>
              </w:rPr>
            </w:pPr>
            <w:r w:rsidRPr="0031411A">
              <w:rPr>
                <w:rFonts w:cs="Arial"/>
                <w:color w:val="000000"/>
                <w:sz w:val="16"/>
                <w:szCs w:val="16"/>
              </w:rPr>
              <w:t>10000</w:t>
            </w:r>
            <w:r w:rsidR="00A32771" w:rsidRPr="0031411A">
              <w:rPr>
                <w:rFonts w:cs="Arial"/>
                <w:color w:val="000000"/>
                <w:sz w:val="16"/>
                <w:szCs w:val="16"/>
              </w:rPr>
              <w:t xml:space="preserve"> m</w:t>
            </w:r>
            <w:r w:rsidR="00A32771" w:rsidRPr="0031411A">
              <w:rPr>
                <w:rFonts w:cs="Arial"/>
                <w:color w:val="000000"/>
                <w:sz w:val="16"/>
                <w:szCs w:val="16"/>
                <w:vertAlign w:val="superscript"/>
              </w:rPr>
              <w:t>3</w:t>
            </w:r>
            <w:r w:rsidR="00A32771" w:rsidRPr="0031411A">
              <w:rPr>
                <w:rFonts w:cs="Arial"/>
                <w:color w:val="000000"/>
                <w:sz w:val="16"/>
                <w:szCs w:val="16"/>
              </w:rPr>
              <w:t xml:space="preserve"> /h</w:t>
            </w:r>
          </w:p>
        </w:tc>
        <w:tc>
          <w:tcPr>
            <w:tcW w:w="1220" w:type="dxa"/>
            <w:tcBorders>
              <w:top w:val="nil"/>
              <w:left w:val="single" w:sz="4" w:space="0" w:color="auto"/>
              <w:bottom w:val="nil"/>
              <w:right w:val="nil"/>
            </w:tcBorders>
            <w:shd w:val="clear" w:color="000000" w:fill="D5DF81"/>
            <w:noWrap/>
            <w:vAlign w:val="bottom"/>
            <w:hideMark/>
          </w:tcPr>
          <w:p w14:paraId="308EDC0D" w14:textId="77777777" w:rsidR="009D08AF" w:rsidRPr="0031411A" w:rsidRDefault="009D08AF" w:rsidP="009D08AF">
            <w:pPr>
              <w:spacing w:line="240" w:lineRule="auto"/>
              <w:jc w:val="right"/>
              <w:rPr>
                <w:rFonts w:cs="Arial"/>
                <w:color w:val="000000"/>
                <w:sz w:val="16"/>
                <w:szCs w:val="16"/>
              </w:rPr>
            </w:pPr>
            <w:r w:rsidRPr="0031411A">
              <w:rPr>
                <w:rFonts w:cs="Arial"/>
                <w:color w:val="000000"/>
                <w:sz w:val="16"/>
                <w:szCs w:val="16"/>
              </w:rPr>
              <w:t xml:space="preserve">€ 829,66 </w:t>
            </w:r>
          </w:p>
        </w:tc>
        <w:tc>
          <w:tcPr>
            <w:tcW w:w="1220" w:type="dxa"/>
            <w:tcBorders>
              <w:top w:val="nil"/>
              <w:left w:val="nil"/>
              <w:bottom w:val="nil"/>
              <w:right w:val="nil"/>
            </w:tcBorders>
            <w:shd w:val="clear" w:color="000000" w:fill="75C37C"/>
            <w:noWrap/>
            <w:vAlign w:val="bottom"/>
            <w:hideMark/>
          </w:tcPr>
          <w:p w14:paraId="739CB350" w14:textId="77777777" w:rsidR="009D08AF" w:rsidRPr="0031411A" w:rsidRDefault="009D08AF" w:rsidP="009D08AF">
            <w:pPr>
              <w:spacing w:line="240" w:lineRule="auto"/>
              <w:jc w:val="right"/>
              <w:rPr>
                <w:rFonts w:cs="Arial"/>
                <w:color w:val="000000"/>
                <w:sz w:val="16"/>
                <w:szCs w:val="16"/>
              </w:rPr>
            </w:pPr>
            <w:r w:rsidRPr="0031411A">
              <w:rPr>
                <w:rFonts w:cs="Arial"/>
                <w:color w:val="000000"/>
                <w:sz w:val="16"/>
                <w:szCs w:val="16"/>
              </w:rPr>
              <w:t xml:space="preserve">€ 210,71 </w:t>
            </w:r>
          </w:p>
        </w:tc>
        <w:tc>
          <w:tcPr>
            <w:tcW w:w="1220" w:type="dxa"/>
            <w:tcBorders>
              <w:top w:val="nil"/>
              <w:left w:val="nil"/>
              <w:bottom w:val="nil"/>
              <w:right w:val="nil"/>
            </w:tcBorders>
            <w:shd w:val="clear" w:color="000000" w:fill="FFE683"/>
            <w:noWrap/>
            <w:vAlign w:val="bottom"/>
            <w:hideMark/>
          </w:tcPr>
          <w:p w14:paraId="5D980709" w14:textId="77777777" w:rsidR="009D08AF" w:rsidRPr="0031411A" w:rsidRDefault="009D08AF" w:rsidP="009D08AF">
            <w:pPr>
              <w:spacing w:line="240" w:lineRule="auto"/>
              <w:jc w:val="right"/>
              <w:rPr>
                <w:rFonts w:cs="Arial"/>
                <w:color w:val="000000"/>
                <w:sz w:val="16"/>
                <w:szCs w:val="16"/>
              </w:rPr>
            </w:pPr>
            <w:r w:rsidRPr="0031411A">
              <w:rPr>
                <w:rFonts w:cs="Arial"/>
                <w:color w:val="000000"/>
                <w:sz w:val="16"/>
                <w:szCs w:val="16"/>
              </w:rPr>
              <w:t xml:space="preserve">€ 1.304,65 </w:t>
            </w:r>
          </w:p>
        </w:tc>
        <w:tc>
          <w:tcPr>
            <w:tcW w:w="1240" w:type="dxa"/>
            <w:tcBorders>
              <w:top w:val="nil"/>
              <w:left w:val="nil"/>
              <w:bottom w:val="nil"/>
              <w:right w:val="single" w:sz="4" w:space="0" w:color="auto"/>
            </w:tcBorders>
            <w:shd w:val="clear" w:color="000000" w:fill="FFE583"/>
            <w:noWrap/>
            <w:vAlign w:val="bottom"/>
            <w:hideMark/>
          </w:tcPr>
          <w:p w14:paraId="2C52D197" w14:textId="77777777" w:rsidR="009D08AF" w:rsidRPr="0031411A" w:rsidRDefault="009D08AF" w:rsidP="009D08AF">
            <w:pPr>
              <w:spacing w:line="240" w:lineRule="auto"/>
              <w:jc w:val="right"/>
              <w:rPr>
                <w:rFonts w:cs="Arial"/>
                <w:color w:val="000000"/>
                <w:sz w:val="16"/>
                <w:szCs w:val="16"/>
              </w:rPr>
            </w:pPr>
            <w:r w:rsidRPr="0031411A">
              <w:rPr>
                <w:rFonts w:cs="Arial"/>
                <w:color w:val="000000"/>
                <w:sz w:val="16"/>
                <w:szCs w:val="16"/>
              </w:rPr>
              <w:t xml:space="preserve">€ 1.359,75 </w:t>
            </w:r>
          </w:p>
        </w:tc>
      </w:tr>
      <w:tr w:rsidR="009D08AF" w:rsidRPr="0031411A" w14:paraId="448C30A4" w14:textId="77777777" w:rsidTr="009D08AF">
        <w:trPr>
          <w:trHeight w:val="29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1B8E086F" w14:textId="77777777" w:rsidR="009D08AF" w:rsidRPr="0031411A" w:rsidRDefault="009D08AF" w:rsidP="009D08AF">
            <w:pPr>
              <w:spacing w:line="240" w:lineRule="auto"/>
              <w:jc w:val="right"/>
              <w:rPr>
                <w:rFonts w:cs="Arial"/>
                <w:color w:val="000000"/>
                <w:sz w:val="16"/>
                <w:szCs w:val="16"/>
              </w:rPr>
            </w:pPr>
            <w:r w:rsidRPr="0031411A">
              <w:rPr>
                <w:rFonts w:cs="Arial"/>
                <w:color w:val="000000"/>
                <w:sz w:val="16"/>
                <w:szCs w:val="16"/>
              </w:rPr>
              <w:t>25000</w:t>
            </w:r>
            <w:r w:rsidR="00A32771" w:rsidRPr="0031411A">
              <w:rPr>
                <w:rFonts w:cs="Arial"/>
                <w:color w:val="000000"/>
                <w:sz w:val="16"/>
                <w:szCs w:val="16"/>
              </w:rPr>
              <w:t xml:space="preserve"> m</w:t>
            </w:r>
            <w:r w:rsidR="00A32771" w:rsidRPr="0031411A">
              <w:rPr>
                <w:rFonts w:cs="Arial"/>
                <w:color w:val="000000"/>
                <w:sz w:val="16"/>
                <w:szCs w:val="16"/>
                <w:vertAlign w:val="superscript"/>
              </w:rPr>
              <w:t>3</w:t>
            </w:r>
            <w:r w:rsidR="00A32771" w:rsidRPr="0031411A">
              <w:rPr>
                <w:rFonts w:cs="Arial"/>
                <w:color w:val="000000"/>
                <w:sz w:val="16"/>
                <w:szCs w:val="16"/>
              </w:rPr>
              <w:t xml:space="preserve"> /h</w:t>
            </w:r>
          </w:p>
        </w:tc>
        <w:tc>
          <w:tcPr>
            <w:tcW w:w="1220" w:type="dxa"/>
            <w:tcBorders>
              <w:top w:val="nil"/>
              <w:left w:val="single" w:sz="4" w:space="0" w:color="auto"/>
              <w:bottom w:val="nil"/>
              <w:right w:val="nil"/>
            </w:tcBorders>
            <w:shd w:val="clear" w:color="000000" w:fill="FFDD82"/>
            <w:noWrap/>
            <w:vAlign w:val="bottom"/>
            <w:hideMark/>
          </w:tcPr>
          <w:p w14:paraId="32E646DE" w14:textId="77777777" w:rsidR="009D08AF" w:rsidRPr="0031411A" w:rsidRDefault="009D08AF" w:rsidP="009D08AF">
            <w:pPr>
              <w:spacing w:line="240" w:lineRule="auto"/>
              <w:jc w:val="right"/>
              <w:rPr>
                <w:rFonts w:cs="Arial"/>
                <w:color w:val="000000"/>
                <w:sz w:val="16"/>
                <w:szCs w:val="16"/>
              </w:rPr>
            </w:pPr>
            <w:r w:rsidRPr="0031411A">
              <w:rPr>
                <w:rFonts w:cs="Arial"/>
                <w:color w:val="000000"/>
                <w:sz w:val="16"/>
                <w:szCs w:val="16"/>
              </w:rPr>
              <w:t xml:space="preserve">€ 1.680,25 </w:t>
            </w:r>
          </w:p>
        </w:tc>
        <w:tc>
          <w:tcPr>
            <w:tcW w:w="1220" w:type="dxa"/>
            <w:tcBorders>
              <w:top w:val="nil"/>
              <w:left w:val="nil"/>
              <w:bottom w:val="nil"/>
              <w:right w:val="nil"/>
            </w:tcBorders>
            <w:shd w:val="clear" w:color="000000" w:fill="96CC7D"/>
            <w:noWrap/>
            <w:vAlign w:val="bottom"/>
            <w:hideMark/>
          </w:tcPr>
          <w:p w14:paraId="473991E2" w14:textId="77777777" w:rsidR="009D08AF" w:rsidRPr="0031411A" w:rsidRDefault="009D08AF" w:rsidP="009D08AF">
            <w:pPr>
              <w:spacing w:line="240" w:lineRule="auto"/>
              <w:jc w:val="right"/>
              <w:rPr>
                <w:rFonts w:cs="Arial"/>
                <w:color w:val="000000"/>
                <w:sz w:val="16"/>
                <w:szCs w:val="16"/>
              </w:rPr>
            </w:pPr>
            <w:r w:rsidRPr="0031411A">
              <w:rPr>
                <w:rFonts w:cs="Arial"/>
                <w:color w:val="000000"/>
                <w:sz w:val="16"/>
                <w:szCs w:val="16"/>
              </w:rPr>
              <w:t xml:space="preserve">€ 424,56 </w:t>
            </w:r>
          </w:p>
        </w:tc>
        <w:tc>
          <w:tcPr>
            <w:tcW w:w="1220" w:type="dxa"/>
            <w:tcBorders>
              <w:top w:val="nil"/>
              <w:left w:val="nil"/>
              <w:bottom w:val="nil"/>
              <w:right w:val="nil"/>
            </w:tcBorders>
            <w:shd w:val="clear" w:color="000000" w:fill="FEC87E"/>
            <w:noWrap/>
            <w:vAlign w:val="bottom"/>
            <w:hideMark/>
          </w:tcPr>
          <w:p w14:paraId="069E5FC6" w14:textId="77777777" w:rsidR="009D08AF" w:rsidRPr="0031411A" w:rsidRDefault="009D08AF" w:rsidP="009D08AF">
            <w:pPr>
              <w:spacing w:line="240" w:lineRule="auto"/>
              <w:jc w:val="right"/>
              <w:rPr>
                <w:rFonts w:cs="Arial"/>
                <w:color w:val="000000"/>
                <w:sz w:val="16"/>
                <w:szCs w:val="16"/>
              </w:rPr>
            </w:pPr>
            <w:r w:rsidRPr="0031411A">
              <w:rPr>
                <w:rFonts w:cs="Arial"/>
                <w:color w:val="000000"/>
                <w:sz w:val="16"/>
                <w:szCs w:val="16"/>
              </w:rPr>
              <w:t xml:space="preserve">€ 2.509,04 </w:t>
            </w:r>
          </w:p>
        </w:tc>
        <w:tc>
          <w:tcPr>
            <w:tcW w:w="1240" w:type="dxa"/>
            <w:tcBorders>
              <w:top w:val="nil"/>
              <w:left w:val="nil"/>
              <w:bottom w:val="nil"/>
              <w:right w:val="single" w:sz="4" w:space="0" w:color="auto"/>
            </w:tcBorders>
            <w:shd w:val="clear" w:color="000000" w:fill="FDC47D"/>
            <w:noWrap/>
            <w:vAlign w:val="bottom"/>
            <w:hideMark/>
          </w:tcPr>
          <w:p w14:paraId="04CCEC26" w14:textId="77777777" w:rsidR="009D08AF" w:rsidRPr="0031411A" w:rsidRDefault="009D08AF" w:rsidP="009D08AF">
            <w:pPr>
              <w:spacing w:line="240" w:lineRule="auto"/>
              <w:jc w:val="right"/>
              <w:rPr>
                <w:rFonts w:cs="Arial"/>
                <w:color w:val="000000"/>
                <w:sz w:val="16"/>
                <w:szCs w:val="16"/>
              </w:rPr>
            </w:pPr>
            <w:r w:rsidRPr="0031411A">
              <w:rPr>
                <w:rFonts w:cs="Arial"/>
                <w:color w:val="000000"/>
                <w:sz w:val="16"/>
                <w:szCs w:val="16"/>
              </w:rPr>
              <w:t xml:space="preserve">€ 2.647,24 </w:t>
            </w:r>
          </w:p>
        </w:tc>
      </w:tr>
      <w:tr w:rsidR="009D08AF" w:rsidRPr="0031411A" w14:paraId="7292A7F0" w14:textId="77777777" w:rsidTr="009D08AF">
        <w:trPr>
          <w:trHeight w:val="29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5132DE51" w14:textId="77777777" w:rsidR="009D08AF" w:rsidRPr="0031411A" w:rsidRDefault="009D08AF" w:rsidP="009D08AF">
            <w:pPr>
              <w:spacing w:line="240" w:lineRule="auto"/>
              <w:jc w:val="right"/>
              <w:rPr>
                <w:rFonts w:cs="Arial"/>
                <w:color w:val="000000"/>
                <w:sz w:val="16"/>
                <w:szCs w:val="16"/>
              </w:rPr>
            </w:pPr>
            <w:r w:rsidRPr="0031411A">
              <w:rPr>
                <w:rFonts w:cs="Arial"/>
                <w:color w:val="000000"/>
                <w:sz w:val="16"/>
                <w:szCs w:val="16"/>
              </w:rPr>
              <w:t>63000</w:t>
            </w:r>
            <w:r w:rsidR="00A32771" w:rsidRPr="0031411A">
              <w:rPr>
                <w:rFonts w:cs="Arial"/>
                <w:color w:val="000000"/>
                <w:sz w:val="16"/>
                <w:szCs w:val="16"/>
              </w:rPr>
              <w:t xml:space="preserve"> m</w:t>
            </w:r>
            <w:r w:rsidR="00A32771" w:rsidRPr="0031411A">
              <w:rPr>
                <w:rFonts w:cs="Arial"/>
                <w:color w:val="000000"/>
                <w:sz w:val="16"/>
                <w:szCs w:val="16"/>
                <w:vertAlign w:val="superscript"/>
              </w:rPr>
              <w:t>3</w:t>
            </w:r>
            <w:r w:rsidR="00A32771" w:rsidRPr="0031411A">
              <w:rPr>
                <w:rFonts w:cs="Arial"/>
                <w:color w:val="000000"/>
                <w:sz w:val="16"/>
                <w:szCs w:val="16"/>
              </w:rPr>
              <w:t xml:space="preserve"> /h</w:t>
            </w:r>
          </w:p>
        </w:tc>
        <w:tc>
          <w:tcPr>
            <w:tcW w:w="1220" w:type="dxa"/>
            <w:tcBorders>
              <w:top w:val="nil"/>
              <w:left w:val="single" w:sz="4" w:space="0" w:color="auto"/>
              <w:bottom w:val="single" w:sz="4" w:space="0" w:color="auto"/>
              <w:right w:val="nil"/>
            </w:tcBorders>
            <w:shd w:val="clear" w:color="000000" w:fill="FB9774"/>
            <w:noWrap/>
            <w:vAlign w:val="bottom"/>
            <w:hideMark/>
          </w:tcPr>
          <w:p w14:paraId="2787A1FE" w14:textId="77777777" w:rsidR="009D08AF" w:rsidRPr="0031411A" w:rsidRDefault="009D08AF" w:rsidP="009D08AF">
            <w:pPr>
              <w:spacing w:line="240" w:lineRule="auto"/>
              <w:jc w:val="right"/>
              <w:rPr>
                <w:rFonts w:cs="Arial"/>
                <w:color w:val="000000"/>
                <w:sz w:val="16"/>
                <w:szCs w:val="16"/>
              </w:rPr>
            </w:pPr>
            <w:r w:rsidRPr="0031411A">
              <w:rPr>
                <w:rFonts w:cs="Arial"/>
                <w:color w:val="000000"/>
                <w:sz w:val="16"/>
                <w:szCs w:val="16"/>
              </w:rPr>
              <w:t xml:space="preserve">€ 4.473,34 </w:t>
            </w:r>
          </w:p>
        </w:tc>
        <w:tc>
          <w:tcPr>
            <w:tcW w:w="1220" w:type="dxa"/>
            <w:tcBorders>
              <w:top w:val="nil"/>
              <w:left w:val="nil"/>
              <w:bottom w:val="single" w:sz="4" w:space="0" w:color="auto"/>
              <w:right w:val="nil"/>
            </w:tcBorders>
            <w:shd w:val="clear" w:color="000000" w:fill="DEE182"/>
            <w:noWrap/>
            <w:vAlign w:val="bottom"/>
            <w:hideMark/>
          </w:tcPr>
          <w:p w14:paraId="195E5B94" w14:textId="77777777" w:rsidR="009D08AF" w:rsidRPr="0031411A" w:rsidRDefault="009D08AF" w:rsidP="009D08AF">
            <w:pPr>
              <w:spacing w:line="240" w:lineRule="auto"/>
              <w:jc w:val="right"/>
              <w:rPr>
                <w:rFonts w:cs="Arial"/>
                <w:color w:val="000000"/>
                <w:sz w:val="16"/>
                <w:szCs w:val="16"/>
              </w:rPr>
            </w:pPr>
            <w:r w:rsidRPr="0031411A">
              <w:rPr>
                <w:rFonts w:cs="Arial"/>
                <w:color w:val="000000"/>
                <w:sz w:val="16"/>
                <w:szCs w:val="16"/>
              </w:rPr>
              <w:t xml:space="preserve">€ 886,69 </w:t>
            </w:r>
          </w:p>
        </w:tc>
        <w:tc>
          <w:tcPr>
            <w:tcW w:w="1220" w:type="dxa"/>
            <w:tcBorders>
              <w:top w:val="nil"/>
              <w:left w:val="nil"/>
              <w:bottom w:val="single" w:sz="4" w:space="0" w:color="auto"/>
              <w:right w:val="nil"/>
            </w:tcBorders>
            <w:shd w:val="clear" w:color="000000" w:fill="FCAA78"/>
            <w:noWrap/>
            <w:vAlign w:val="bottom"/>
            <w:hideMark/>
          </w:tcPr>
          <w:p w14:paraId="53EBE91F" w14:textId="77777777" w:rsidR="009D08AF" w:rsidRPr="0031411A" w:rsidRDefault="009D08AF" w:rsidP="009D08AF">
            <w:pPr>
              <w:spacing w:line="240" w:lineRule="auto"/>
              <w:jc w:val="right"/>
              <w:rPr>
                <w:rFonts w:cs="Arial"/>
                <w:color w:val="000000"/>
                <w:sz w:val="16"/>
                <w:szCs w:val="16"/>
              </w:rPr>
            </w:pPr>
            <w:r w:rsidRPr="0031411A">
              <w:rPr>
                <w:rFonts w:cs="Arial"/>
                <w:color w:val="000000"/>
                <w:sz w:val="16"/>
                <w:szCs w:val="16"/>
              </w:rPr>
              <w:t xml:space="preserve">€ 3.687,05 </w:t>
            </w:r>
          </w:p>
        </w:tc>
        <w:tc>
          <w:tcPr>
            <w:tcW w:w="1240" w:type="dxa"/>
            <w:tcBorders>
              <w:top w:val="nil"/>
              <w:left w:val="nil"/>
              <w:bottom w:val="single" w:sz="4" w:space="0" w:color="auto"/>
              <w:right w:val="single" w:sz="4" w:space="0" w:color="auto"/>
            </w:tcBorders>
            <w:shd w:val="clear" w:color="000000" w:fill="F8696B"/>
            <w:noWrap/>
            <w:vAlign w:val="bottom"/>
            <w:hideMark/>
          </w:tcPr>
          <w:p w14:paraId="1C5B387C" w14:textId="77777777" w:rsidR="009D08AF" w:rsidRPr="0031411A" w:rsidRDefault="009D08AF" w:rsidP="009D08AF">
            <w:pPr>
              <w:spacing w:line="240" w:lineRule="auto"/>
              <w:jc w:val="right"/>
              <w:rPr>
                <w:rFonts w:cs="Arial"/>
                <w:color w:val="000000"/>
                <w:sz w:val="16"/>
                <w:szCs w:val="16"/>
              </w:rPr>
            </w:pPr>
            <w:r w:rsidRPr="0031411A">
              <w:rPr>
                <w:rFonts w:cs="Arial"/>
                <w:color w:val="000000"/>
                <w:sz w:val="16"/>
                <w:szCs w:val="16"/>
              </w:rPr>
              <w:t xml:space="preserve">€ 6.267,05 </w:t>
            </w:r>
          </w:p>
        </w:tc>
      </w:tr>
    </w:tbl>
    <w:p w14:paraId="7F41998B" w14:textId="77777777" w:rsidR="009D08AF" w:rsidRPr="0031411A" w:rsidRDefault="009D08AF" w:rsidP="008A7A34"/>
    <w:p w14:paraId="12AC7757" w14:textId="77777777" w:rsidR="00012D70" w:rsidRPr="0031411A" w:rsidRDefault="00703282" w:rsidP="008A7A34">
      <w:r w:rsidRPr="0031411A">
        <w:t xml:space="preserve"> </w:t>
      </w:r>
    </w:p>
    <w:p w14:paraId="7D6AF23C" w14:textId="77777777" w:rsidR="00703282" w:rsidRPr="0031411A" w:rsidRDefault="00703282" w:rsidP="008A7A34">
      <w:r w:rsidRPr="0031411A">
        <w:t>Om uiteindelijk de resultaten bruikbaar te maken voor een ontwerpkeuze is een vergelijk gemaakt per m</w:t>
      </w:r>
      <w:r w:rsidRPr="0031411A">
        <w:rPr>
          <w:vertAlign w:val="superscript"/>
        </w:rPr>
        <w:t>3</w:t>
      </w:r>
      <w:r w:rsidRPr="0031411A">
        <w:t xml:space="preserve"> behandelde lucht</w:t>
      </w:r>
      <w:r w:rsidR="00317D3B" w:rsidRPr="0031411A">
        <w:t xml:space="preserve"> over de gehele levensduur</w:t>
      </w:r>
      <w:r w:rsidRPr="0031411A">
        <w:t xml:space="preserve">, zie </w:t>
      </w:r>
      <w:r w:rsidR="00A32771" w:rsidRPr="0031411A">
        <w:t>tabel 2</w:t>
      </w:r>
      <w:r w:rsidRPr="0031411A">
        <w:t>.</w:t>
      </w:r>
    </w:p>
    <w:p w14:paraId="0ADBD964" w14:textId="77777777" w:rsidR="002E4067" w:rsidRPr="0031411A" w:rsidRDefault="002E4067" w:rsidP="008A7A34"/>
    <w:p w14:paraId="7E353502" w14:textId="77777777" w:rsidR="00E15112" w:rsidRDefault="00E15112" w:rsidP="002E4067">
      <w:pPr>
        <w:pStyle w:val="Caption"/>
        <w:keepNext/>
      </w:pPr>
    </w:p>
    <w:p w14:paraId="5A3F8AEE" w14:textId="77777777" w:rsidR="00E15112" w:rsidRDefault="00E15112" w:rsidP="002E4067">
      <w:pPr>
        <w:pStyle w:val="Caption"/>
        <w:keepNext/>
      </w:pPr>
    </w:p>
    <w:p w14:paraId="2F2F92E4" w14:textId="77777777" w:rsidR="002E4067" w:rsidRPr="0031411A" w:rsidRDefault="002E4067" w:rsidP="002E4067">
      <w:pPr>
        <w:pStyle w:val="Caption"/>
        <w:keepNext/>
      </w:pPr>
      <w:r w:rsidRPr="0031411A">
        <w:t xml:space="preserve">Tabel </w:t>
      </w:r>
      <w:r w:rsidR="006C36E0">
        <w:fldChar w:fldCharType="begin"/>
      </w:r>
      <w:r w:rsidR="006C36E0">
        <w:instrText xml:space="preserve"> SEQ Tabel \* ARABIC </w:instrText>
      </w:r>
      <w:r w:rsidR="006C36E0">
        <w:fldChar w:fldCharType="separate"/>
      </w:r>
      <w:r w:rsidR="006556FC" w:rsidRPr="0031411A">
        <w:rPr>
          <w:noProof/>
        </w:rPr>
        <w:t>2</w:t>
      </w:r>
      <w:r w:rsidR="006C36E0">
        <w:rPr>
          <w:noProof/>
        </w:rPr>
        <w:fldChar w:fldCharType="end"/>
      </w:r>
      <w:r w:rsidRPr="0031411A">
        <w:t xml:space="preserve"> Schaduwprijs per behandelde m</w:t>
      </w:r>
      <w:r w:rsidRPr="0031411A">
        <w:rPr>
          <w:vertAlign w:val="superscript"/>
        </w:rPr>
        <w:t>3</w:t>
      </w:r>
      <w:r w:rsidRPr="0031411A">
        <w:t xml:space="preserve"> lucht over 25 jaar</w:t>
      </w:r>
    </w:p>
    <w:tbl>
      <w:tblPr>
        <w:tblW w:w="6800" w:type="dxa"/>
        <w:tblCellMar>
          <w:left w:w="70" w:type="dxa"/>
          <w:right w:w="70" w:type="dxa"/>
        </w:tblCellMar>
        <w:tblLook w:val="04A0" w:firstRow="1" w:lastRow="0" w:firstColumn="1" w:lastColumn="0" w:noHBand="0" w:noVBand="1"/>
      </w:tblPr>
      <w:tblGrid>
        <w:gridCol w:w="2000"/>
        <w:gridCol w:w="1200"/>
        <w:gridCol w:w="1200"/>
        <w:gridCol w:w="1200"/>
        <w:gridCol w:w="1200"/>
      </w:tblGrid>
      <w:tr w:rsidR="002E4067" w:rsidRPr="0031411A" w14:paraId="2EFE5234" w14:textId="77777777" w:rsidTr="002E4067">
        <w:trPr>
          <w:trHeight w:val="290"/>
        </w:trPr>
        <w:tc>
          <w:tcPr>
            <w:tcW w:w="3200" w:type="dxa"/>
            <w:gridSpan w:val="2"/>
            <w:tcBorders>
              <w:top w:val="nil"/>
              <w:left w:val="nil"/>
              <w:bottom w:val="nil"/>
              <w:right w:val="nil"/>
            </w:tcBorders>
            <w:shd w:val="clear" w:color="000000" w:fill="00B0F0"/>
            <w:noWrap/>
            <w:vAlign w:val="bottom"/>
            <w:hideMark/>
          </w:tcPr>
          <w:p w14:paraId="4F230C32" w14:textId="77777777" w:rsidR="002E4067" w:rsidRPr="0031411A" w:rsidRDefault="002E4067" w:rsidP="002E4067">
            <w:pPr>
              <w:spacing w:line="240" w:lineRule="auto"/>
              <w:rPr>
                <w:rFonts w:cs="Arial"/>
                <w:b/>
                <w:bCs/>
                <w:color w:val="000000"/>
                <w:sz w:val="16"/>
                <w:szCs w:val="16"/>
              </w:rPr>
            </w:pPr>
            <w:r w:rsidRPr="0031411A">
              <w:rPr>
                <w:rFonts w:cs="Arial"/>
                <w:b/>
                <w:bCs/>
                <w:color w:val="000000"/>
                <w:sz w:val="16"/>
                <w:szCs w:val="16"/>
              </w:rPr>
              <w:t>Netto schaduwkosten per m</w:t>
            </w:r>
            <w:r w:rsidRPr="0031411A">
              <w:rPr>
                <w:rFonts w:cs="Arial"/>
                <w:b/>
                <w:bCs/>
                <w:color w:val="000000"/>
                <w:sz w:val="16"/>
                <w:szCs w:val="16"/>
                <w:vertAlign w:val="superscript"/>
              </w:rPr>
              <w:t>3</w:t>
            </w:r>
            <w:r w:rsidR="009D32D4" w:rsidRPr="0031411A">
              <w:rPr>
                <w:rFonts w:cs="Arial"/>
                <w:b/>
                <w:bCs/>
                <w:color w:val="000000"/>
                <w:sz w:val="16"/>
                <w:szCs w:val="16"/>
              </w:rPr>
              <w:t>/h</w:t>
            </w:r>
          </w:p>
        </w:tc>
        <w:tc>
          <w:tcPr>
            <w:tcW w:w="1200" w:type="dxa"/>
            <w:tcBorders>
              <w:top w:val="nil"/>
              <w:left w:val="nil"/>
              <w:bottom w:val="nil"/>
              <w:right w:val="nil"/>
            </w:tcBorders>
            <w:shd w:val="clear" w:color="000000" w:fill="00B0F0"/>
            <w:noWrap/>
            <w:vAlign w:val="bottom"/>
            <w:hideMark/>
          </w:tcPr>
          <w:p w14:paraId="0E97AC10" w14:textId="77777777" w:rsidR="002E4067" w:rsidRPr="0031411A" w:rsidRDefault="002E4067" w:rsidP="002E4067">
            <w:pPr>
              <w:spacing w:line="240" w:lineRule="auto"/>
              <w:rPr>
                <w:rFonts w:cs="Arial"/>
                <w:color w:val="000000"/>
                <w:sz w:val="16"/>
                <w:szCs w:val="16"/>
              </w:rPr>
            </w:pPr>
            <w:r w:rsidRPr="0031411A">
              <w:rPr>
                <w:rFonts w:cs="Arial"/>
                <w:color w:val="000000"/>
                <w:sz w:val="16"/>
                <w:szCs w:val="16"/>
              </w:rPr>
              <w:t> </w:t>
            </w:r>
          </w:p>
        </w:tc>
        <w:tc>
          <w:tcPr>
            <w:tcW w:w="1200" w:type="dxa"/>
            <w:tcBorders>
              <w:top w:val="nil"/>
              <w:left w:val="nil"/>
              <w:bottom w:val="nil"/>
              <w:right w:val="nil"/>
            </w:tcBorders>
            <w:shd w:val="clear" w:color="000000" w:fill="00B0F0"/>
            <w:noWrap/>
            <w:vAlign w:val="bottom"/>
            <w:hideMark/>
          </w:tcPr>
          <w:p w14:paraId="6BB0A9BE" w14:textId="77777777" w:rsidR="002E4067" w:rsidRPr="0031411A" w:rsidRDefault="002E4067" w:rsidP="002E4067">
            <w:pPr>
              <w:spacing w:line="240" w:lineRule="auto"/>
              <w:rPr>
                <w:rFonts w:cs="Arial"/>
                <w:color w:val="000000"/>
                <w:sz w:val="16"/>
                <w:szCs w:val="16"/>
              </w:rPr>
            </w:pPr>
            <w:r w:rsidRPr="0031411A">
              <w:rPr>
                <w:rFonts w:cs="Arial"/>
                <w:color w:val="000000"/>
                <w:sz w:val="16"/>
                <w:szCs w:val="16"/>
              </w:rPr>
              <w:t> </w:t>
            </w:r>
          </w:p>
        </w:tc>
        <w:tc>
          <w:tcPr>
            <w:tcW w:w="1200" w:type="dxa"/>
            <w:tcBorders>
              <w:top w:val="nil"/>
              <w:left w:val="nil"/>
              <w:bottom w:val="nil"/>
              <w:right w:val="nil"/>
            </w:tcBorders>
            <w:shd w:val="clear" w:color="000000" w:fill="00B0F0"/>
            <w:noWrap/>
            <w:vAlign w:val="bottom"/>
            <w:hideMark/>
          </w:tcPr>
          <w:p w14:paraId="736CC63F" w14:textId="77777777" w:rsidR="002E4067" w:rsidRPr="0031411A" w:rsidRDefault="002E4067" w:rsidP="002E4067">
            <w:pPr>
              <w:spacing w:line="240" w:lineRule="auto"/>
              <w:rPr>
                <w:rFonts w:cs="Arial"/>
                <w:color w:val="000000"/>
                <w:sz w:val="16"/>
                <w:szCs w:val="16"/>
              </w:rPr>
            </w:pPr>
            <w:r w:rsidRPr="0031411A">
              <w:rPr>
                <w:rFonts w:cs="Arial"/>
                <w:color w:val="000000"/>
                <w:sz w:val="16"/>
                <w:szCs w:val="16"/>
              </w:rPr>
              <w:t> </w:t>
            </w:r>
          </w:p>
        </w:tc>
      </w:tr>
      <w:tr w:rsidR="002E4067" w:rsidRPr="0031411A" w14:paraId="47EDCA50" w14:textId="77777777" w:rsidTr="002E4067">
        <w:trPr>
          <w:trHeight w:val="580"/>
        </w:trPr>
        <w:tc>
          <w:tcPr>
            <w:tcW w:w="20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A45D58" w14:textId="77777777" w:rsidR="002E4067" w:rsidRPr="0031411A" w:rsidRDefault="002E4067" w:rsidP="002E4067">
            <w:pPr>
              <w:spacing w:line="240" w:lineRule="auto"/>
              <w:rPr>
                <w:rFonts w:cs="Arial"/>
                <w:color w:val="000000"/>
                <w:sz w:val="16"/>
                <w:szCs w:val="16"/>
              </w:rPr>
            </w:pPr>
            <w:r w:rsidRPr="0031411A">
              <w:rPr>
                <w:rFonts w:cs="Arial"/>
                <w:color w:val="000000"/>
                <w:sz w:val="16"/>
                <w:szCs w:val="16"/>
              </w:rPr>
              <w:t>Debiet \ Kasttype</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559DEB9C" w14:textId="77777777" w:rsidR="002E4067" w:rsidRPr="0031411A" w:rsidRDefault="002E4067" w:rsidP="002E4067">
            <w:pPr>
              <w:spacing w:line="240" w:lineRule="auto"/>
              <w:rPr>
                <w:rFonts w:cs="Arial"/>
                <w:color w:val="000000"/>
                <w:sz w:val="16"/>
                <w:szCs w:val="16"/>
              </w:rPr>
            </w:pPr>
            <w:r w:rsidRPr="0031411A">
              <w:rPr>
                <w:rFonts w:cs="Arial"/>
                <w:color w:val="000000"/>
                <w:sz w:val="16"/>
                <w:szCs w:val="16"/>
              </w:rPr>
              <w:t>toevoer</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26649637" w14:textId="77777777" w:rsidR="002E4067" w:rsidRPr="0031411A" w:rsidRDefault="002E4067" w:rsidP="002E4067">
            <w:pPr>
              <w:spacing w:line="240" w:lineRule="auto"/>
              <w:rPr>
                <w:rFonts w:cs="Arial"/>
                <w:color w:val="000000"/>
                <w:sz w:val="16"/>
                <w:szCs w:val="16"/>
              </w:rPr>
            </w:pPr>
            <w:r w:rsidRPr="0031411A">
              <w:rPr>
                <w:rFonts w:cs="Arial"/>
                <w:color w:val="000000"/>
                <w:sz w:val="16"/>
                <w:szCs w:val="16"/>
              </w:rPr>
              <w:t>afvoer</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7BE38DF3" w14:textId="77777777" w:rsidR="002E4067" w:rsidRPr="0031411A" w:rsidRDefault="002E4067" w:rsidP="002E4067">
            <w:pPr>
              <w:spacing w:line="240" w:lineRule="auto"/>
              <w:rPr>
                <w:rFonts w:cs="Arial"/>
                <w:color w:val="000000"/>
                <w:sz w:val="16"/>
                <w:szCs w:val="16"/>
              </w:rPr>
            </w:pPr>
            <w:r w:rsidRPr="0031411A">
              <w:rPr>
                <w:rFonts w:cs="Arial"/>
                <w:color w:val="000000"/>
                <w:sz w:val="16"/>
                <w:szCs w:val="16"/>
              </w:rPr>
              <w:t>warmtewiel</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63C9988A" w14:textId="77777777" w:rsidR="002E4067" w:rsidRPr="0031411A" w:rsidRDefault="002E4067" w:rsidP="002E4067">
            <w:pPr>
              <w:spacing w:line="240" w:lineRule="auto"/>
              <w:rPr>
                <w:rFonts w:cs="Arial"/>
                <w:color w:val="000000"/>
                <w:sz w:val="16"/>
                <w:szCs w:val="16"/>
              </w:rPr>
            </w:pPr>
            <w:r w:rsidRPr="0031411A">
              <w:rPr>
                <w:rFonts w:cs="Arial"/>
                <w:color w:val="000000"/>
                <w:sz w:val="16"/>
                <w:szCs w:val="16"/>
              </w:rPr>
              <w:t>kruisstroom</w:t>
            </w:r>
          </w:p>
        </w:tc>
      </w:tr>
      <w:tr w:rsidR="00392AB2" w:rsidRPr="0031411A" w14:paraId="5F91ACE0" w14:textId="77777777" w:rsidTr="002E4067">
        <w:trPr>
          <w:trHeight w:val="29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08773349" w14:textId="77777777" w:rsidR="00392AB2" w:rsidRPr="0031411A" w:rsidRDefault="00392AB2" w:rsidP="00392AB2">
            <w:pPr>
              <w:spacing w:line="240" w:lineRule="auto"/>
              <w:jc w:val="right"/>
              <w:rPr>
                <w:rFonts w:cs="Arial"/>
                <w:color w:val="000000"/>
                <w:sz w:val="16"/>
                <w:szCs w:val="16"/>
              </w:rPr>
            </w:pPr>
            <w:r w:rsidRPr="0031411A">
              <w:rPr>
                <w:rFonts w:cs="Arial"/>
                <w:color w:val="000000"/>
                <w:sz w:val="16"/>
                <w:szCs w:val="16"/>
              </w:rPr>
              <w:t>2500 m</w:t>
            </w:r>
            <w:r w:rsidRPr="0031411A">
              <w:rPr>
                <w:rFonts w:cs="Arial"/>
                <w:color w:val="000000"/>
                <w:sz w:val="16"/>
                <w:szCs w:val="16"/>
                <w:vertAlign w:val="superscript"/>
              </w:rPr>
              <w:t>3</w:t>
            </w:r>
            <w:r w:rsidRPr="0031411A">
              <w:rPr>
                <w:rFonts w:cs="Arial"/>
                <w:color w:val="000000"/>
                <w:sz w:val="16"/>
                <w:szCs w:val="16"/>
              </w:rPr>
              <w:t xml:space="preserve"> /h</w:t>
            </w:r>
          </w:p>
        </w:tc>
        <w:tc>
          <w:tcPr>
            <w:tcW w:w="1200" w:type="dxa"/>
            <w:tcBorders>
              <w:top w:val="single" w:sz="4" w:space="0" w:color="auto"/>
              <w:left w:val="single" w:sz="4" w:space="0" w:color="auto"/>
              <w:bottom w:val="nil"/>
              <w:right w:val="nil"/>
            </w:tcBorders>
            <w:shd w:val="clear" w:color="000000" w:fill="FDBD7C"/>
            <w:noWrap/>
            <w:vAlign w:val="bottom"/>
            <w:hideMark/>
          </w:tcPr>
          <w:p w14:paraId="5FF7314A" w14:textId="77777777" w:rsidR="00392AB2" w:rsidRPr="0031411A" w:rsidRDefault="00392AB2" w:rsidP="00392AB2">
            <w:pPr>
              <w:spacing w:line="240" w:lineRule="auto"/>
              <w:jc w:val="right"/>
              <w:rPr>
                <w:rFonts w:cs="Arial"/>
                <w:color w:val="000000"/>
                <w:sz w:val="16"/>
                <w:szCs w:val="16"/>
              </w:rPr>
            </w:pPr>
            <w:r w:rsidRPr="0031411A">
              <w:rPr>
                <w:rFonts w:cs="Arial"/>
                <w:color w:val="000000"/>
                <w:sz w:val="16"/>
                <w:szCs w:val="16"/>
              </w:rPr>
              <w:t>0,14</w:t>
            </w:r>
          </w:p>
        </w:tc>
        <w:tc>
          <w:tcPr>
            <w:tcW w:w="1200" w:type="dxa"/>
            <w:tcBorders>
              <w:top w:val="single" w:sz="4" w:space="0" w:color="auto"/>
              <w:left w:val="single" w:sz="4" w:space="0" w:color="auto"/>
              <w:bottom w:val="nil"/>
              <w:right w:val="nil"/>
            </w:tcBorders>
            <w:shd w:val="clear" w:color="000000" w:fill="92CB7D"/>
            <w:noWrap/>
            <w:vAlign w:val="bottom"/>
            <w:hideMark/>
          </w:tcPr>
          <w:p w14:paraId="292ABF72" w14:textId="77777777" w:rsidR="00392AB2" w:rsidRPr="0031411A" w:rsidRDefault="00392AB2" w:rsidP="00392AB2">
            <w:pPr>
              <w:spacing w:line="240" w:lineRule="auto"/>
              <w:jc w:val="right"/>
              <w:rPr>
                <w:rFonts w:cs="Arial"/>
                <w:color w:val="000000"/>
                <w:sz w:val="16"/>
                <w:szCs w:val="16"/>
              </w:rPr>
            </w:pPr>
            <w:r w:rsidRPr="0031411A">
              <w:rPr>
                <w:rFonts w:cs="Arial"/>
                <w:color w:val="000000"/>
                <w:sz w:val="16"/>
                <w:szCs w:val="16"/>
              </w:rPr>
              <w:t>0,04</w:t>
            </w:r>
          </w:p>
        </w:tc>
        <w:tc>
          <w:tcPr>
            <w:tcW w:w="1200" w:type="dxa"/>
            <w:tcBorders>
              <w:top w:val="single" w:sz="4" w:space="0" w:color="auto"/>
              <w:left w:val="single" w:sz="4" w:space="0" w:color="auto"/>
              <w:bottom w:val="nil"/>
              <w:right w:val="nil"/>
            </w:tcBorders>
            <w:shd w:val="clear" w:color="000000" w:fill="F9716D"/>
            <w:noWrap/>
            <w:vAlign w:val="bottom"/>
            <w:hideMark/>
          </w:tcPr>
          <w:p w14:paraId="67FF50E7" w14:textId="77777777" w:rsidR="00392AB2" w:rsidRPr="0031411A" w:rsidRDefault="00392AB2" w:rsidP="00392AB2">
            <w:pPr>
              <w:spacing w:line="240" w:lineRule="auto"/>
              <w:jc w:val="right"/>
              <w:rPr>
                <w:rFonts w:cs="Arial"/>
                <w:color w:val="000000"/>
                <w:sz w:val="16"/>
                <w:szCs w:val="16"/>
              </w:rPr>
            </w:pPr>
            <w:r w:rsidRPr="0031411A">
              <w:rPr>
                <w:rFonts w:cs="Arial"/>
                <w:color w:val="000000"/>
                <w:sz w:val="16"/>
                <w:szCs w:val="16"/>
              </w:rPr>
              <w:t>0,22</w:t>
            </w:r>
          </w:p>
        </w:tc>
        <w:tc>
          <w:tcPr>
            <w:tcW w:w="1200" w:type="dxa"/>
            <w:tcBorders>
              <w:top w:val="single" w:sz="4" w:space="0" w:color="auto"/>
              <w:left w:val="single" w:sz="4" w:space="0" w:color="auto"/>
              <w:bottom w:val="nil"/>
              <w:right w:val="nil"/>
            </w:tcBorders>
            <w:shd w:val="clear" w:color="000000" w:fill="F8696B"/>
            <w:noWrap/>
            <w:vAlign w:val="bottom"/>
            <w:hideMark/>
          </w:tcPr>
          <w:p w14:paraId="48CF9B9D" w14:textId="77777777" w:rsidR="00392AB2" w:rsidRPr="0031411A" w:rsidRDefault="00392AB2" w:rsidP="00392AB2">
            <w:pPr>
              <w:spacing w:line="240" w:lineRule="auto"/>
              <w:jc w:val="right"/>
              <w:rPr>
                <w:rFonts w:cs="Arial"/>
                <w:color w:val="000000"/>
                <w:sz w:val="16"/>
                <w:szCs w:val="16"/>
              </w:rPr>
            </w:pPr>
            <w:r w:rsidRPr="0031411A">
              <w:rPr>
                <w:rFonts w:cs="Arial"/>
                <w:color w:val="000000"/>
                <w:sz w:val="16"/>
                <w:szCs w:val="16"/>
              </w:rPr>
              <w:t>0,22</w:t>
            </w:r>
          </w:p>
        </w:tc>
      </w:tr>
      <w:tr w:rsidR="00392AB2" w:rsidRPr="0031411A" w14:paraId="07617F26" w14:textId="77777777" w:rsidTr="002E4067">
        <w:trPr>
          <w:trHeight w:val="29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72A1FB38" w14:textId="77777777" w:rsidR="00392AB2" w:rsidRPr="0031411A" w:rsidRDefault="00392AB2" w:rsidP="00392AB2">
            <w:pPr>
              <w:spacing w:line="240" w:lineRule="auto"/>
              <w:jc w:val="right"/>
              <w:rPr>
                <w:rFonts w:cs="Arial"/>
                <w:color w:val="000000"/>
                <w:sz w:val="16"/>
                <w:szCs w:val="16"/>
              </w:rPr>
            </w:pPr>
            <w:r w:rsidRPr="0031411A">
              <w:rPr>
                <w:rFonts w:cs="Arial"/>
                <w:color w:val="000000"/>
                <w:sz w:val="16"/>
                <w:szCs w:val="16"/>
              </w:rPr>
              <w:t>10000 m</w:t>
            </w:r>
            <w:r w:rsidRPr="0031411A">
              <w:rPr>
                <w:rFonts w:cs="Arial"/>
                <w:color w:val="000000"/>
                <w:sz w:val="16"/>
                <w:szCs w:val="16"/>
                <w:vertAlign w:val="superscript"/>
              </w:rPr>
              <w:t>3</w:t>
            </w:r>
            <w:r w:rsidRPr="0031411A">
              <w:rPr>
                <w:rFonts w:cs="Arial"/>
                <w:color w:val="000000"/>
                <w:sz w:val="16"/>
                <w:szCs w:val="16"/>
              </w:rPr>
              <w:t xml:space="preserve"> /h</w:t>
            </w:r>
          </w:p>
        </w:tc>
        <w:tc>
          <w:tcPr>
            <w:tcW w:w="1200" w:type="dxa"/>
            <w:tcBorders>
              <w:top w:val="single" w:sz="4" w:space="0" w:color="auto"/>
              <w:left w:val="single" w:sz="4" w:space="0" w:color="auto"/>
              <w:bottom w:val="nil"/>
              <w:right w:val="nil"/>
            </w:tcBorders>
            <w:shd w:val="clear" w:color="000000" w:fill="EEE683"/>
            <w:noWrap/>
            <w:vAlign w:val="bottom"/>
            <w:hideMark/>
          </w:tcPr>
          <w:p w14:paraId="4B2F781F" w14:textId="77777777" w:rsidR="00392AB2" w:rsidRPr="0031411A" w:rsidRDefault="00392AB2" w:rsidP="00392AB2">
            <w:pPr>
              <w:spacing w:line="240" w:lineRule="auto"/>
              <w:jc w:val="right"/>
              <w:rPr>
                <w:rFonts w:cs="Arial"/>
                <w:color w:val="000000"/>
                <w:sz w:val="16"/>
                <w:szCs w:val="16"/>
              </w:rPr>
            </w:pPr>
            <w:r w:rsidRPr="0031411A">
              <w:rPr>
                <w:rFonts w:cs="Arial"/>
                <w:color w:val="000000"/>
                <w:sz w:val="16"/>
                <w:szCs w:val="16"/>
              </w:rPr>
              <w:t>0,08</w:t>
            </w:r>
          </w:p>
        </w:tc>
        <w:tc>
          <w:tcPr>
            <w:tcW w:w="1200" w:type="dxa"/>
            <w:tcBorders>
              <w:top w:val="single" w:sz="4" w:space="0" w:color="auto"/>
              <w:left w:val="single" w:sz="4" w:space="0" w:color="auto"/>
              <w:bottom w:val="nil"/>
              <w:right w:val="nil"/>
            </w:tcBorders>
            <w:shd w:val="clear" w:color="000000" w:fill="71C27B"/>
            <w:noWrap/>
            <w:vAlign w:val="bottom"/>
            <w:hideMark/>
          </w:tcPr>
          <w:p w14:paraId="772022F0" w14:textId="77777777" w:rsidR="00392AB2" w:rsidRPr="0031411A" w:rsidRDefault="00392AB2" w:rsidP="00392AB2">
            <w:pPr>
              <w:spacing w:line="240" w:lineRule="auto"/>
              <w:jc w:val="right"/>
              <w:rPr>
                <w:rFonts w:cs="Arial"/>
                <w:color w:val="000000"/>
                <w:sz w:val="16"/>
                <w:szCs w:val="16"/>
              </w:rPr>
            </w:pPr>
            <w:r w:rsidRPr="0031411A">
              <w:rPr>
                <w:rFonts w:cs="Arial"/>
                <w:color w:val="000000"/>
                <w:sz w:val="16"/>
                <w:szCs w:val="16"/>
              </w:rPr>
              <w:t>0,02</w:t>
            </w:r>
          </w:p>
        </w:tc>
        <w:tc>
          <w:tcPr>
            <w:tcW w:w="1200" w:type="dxa"/>
            <w:tcBorders>
              <w:top w:val="single" w:sz="4" w:space="0" w:color="auto"/>
              <w:left w:val="single" w:sz="4" w:space="0" w:color="auto"/>
              <w:bottom w:val="nil"/>
              <w:right w:val="nil"/>
            </w:tcBorders>
            <w:shd w:val="clear" w:color="000000" w:fill="FDC57D"/>
            <w:noWrap/>
            <w:vAlign w:val="bottom"/>
            <w:hideMark/>
          </w:tcPr>
          <w:p w14:paraId="26E93DAF" w14:textId="77777777" w:rsidR="00392AB2" w:rsidRPr="0031411A" w:rsidRDefault="00392AB2" w:rsidP="00392AB2">
            <w:pPr>
              <w:spacing w:line="240" w:lineRule="auto"/>
              <w:jc w:val="right"/>
              <w:rPr>
                <w:rFonts w:cs="Arial"/>
                <w:color w:val="000000"/>
                <w:sz w:val="16"/>
                <w:szCs w:val="16"/>
              </w:rPr>
            </w:pPr>
            <w:r w:rsidRPr="0031411A">
              <w:rPr>
                <w:rFonts w:cs="Arial"/>
                <w:color w:val="000000"/>
                <w:sz w:val="16"/>
                <w:szCs w:val="16"/>
              </w:rPr>
              <w:t>0,13</w:t>
            </w:r>
          </w:p>
        </w:tc>
        <w:tc>
          <w:tcPr>
            <w:tcW w:w="1200" w:type="dxa"/>
            <w:tcBorders>
              <w:top w:val="single" w:sz="4" w:space="0" w:color="auto"/>
              <w:left w:val="single" w:sz="4" w:space="0" w:color="auto"/>
              <w:bottom w:val="nil"/>
              <w:right w:val="nil"/>
            </w:tcBorders>
            <w:shd w:val="clear" w:color="000000" w:fill="FDBF7C"/>
            <w:noWrap/>
            <w:vAlign w:val="bottom"/>
            <w:hideMark/>
          </w:tcPr>
          <w:p w14:paraId="5CF03D03" w14:textId="77777777" w:rsidR="00392AB2" w:rsidRPr="0031411A" w:rsidRDefault="00392AB2" w:rsidP="00392AB2">
            <w:pPr>
              <w:spacing w:line="240" w:lineRule="auto"/>
              <w:jc w:val="right"/>
              <w:rPr>
                <w:rFonts w:cs="Arial"/>
                <w:color w:val="000000"/>
                <w:sz w:val="16"/>
                <w:szCs w:val="16"/>
              </w:rPr>
            </w:pPr>
            <w:r w:rsidRPr="0031411A">
              <w:rPr>
                <w:rFonts w:cs="Arial"/>
                <w:color w:val="000000"/>
                <w:sz w:val="16"/>
                <w:szCs w:val="16"/>
              </w:rPr>
              <w:t>0,14</w:t>
            </w:r>
          </w:p>
        </w:tc>
      </w:tr>
      <w:tr w:rsidR="00392AB2" w:rsidRPr="0031411A" w14:paraId="23C73F7D" w14:textId="77777777" w:rsidTr="002E4067">
        <w:trPr>
          <w:trHeight w:val="29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42578D3A" w14:textId="77777777" w:rsidR="00392AB2" w:rsidRPr="0031411A" w:rsidRDefault="00392AB2" w:rsidP="00392AB2">
            <w:pPr>
              <w:spacing w:line="240" w:lineRule="auto"/>
              <w:jc w:val="right"/>
              <w:rPr>
                <w:rFonts w:cs="Arial"/>
                <w:color w:val="000000"/>
                <w:sz w:val="16"/>
                <w:szCs w:val="16"/>
              </w:rPr>
            </w:pPr>
            <w:r w:rsidRPr="0031411A">
              <w:rPr>
                <w:rFonts w:cs="Arial"/>
                <w:color w:val="000000"/>
                <w:sz w:val="16"/>
                <w:szCs w:val="16"/>
              </w:rPr>
              <w:t>25000 m</w:t>
            </w:r>
            <w:r w:rsidRPr="0031411A">
              <w:rPr>
                <w:rFonts w:cs="Arial"/>
                <w:color w:val="000000"/>
                <w:sz w:val="16"/>
                <w:szCs w:val="16"/>
                <w:vertAlign w:val="superscript"/>
              </w:rPr>
              <w:t>3</w:t>
            </w:r>
            <w:r w:rsidRPr="0031411A">
              <w:rPr>
                <w:rFonts w:cs="Arial"/>
                <w:color w:val="000000"/>
                <w:sz w:val="16"/>
                <w:szCs w:val="16"/>
              </w:rPr>
              <w:t xml:space="preserve"> /h</w:t>
            </w:r>
          </w:p>
        </w:tc>
        <w:tc>
          <w:tcPr>
            <w:tcW w:w="1200" w:type="dxa"/>
            <w:tcBorders>
              <w:top w:val="single" w:sz="4" w:space="0" w:color="auto"/>
              <w:left w:val="single" w:sz="4" w:space="0" w:color="auto"/>
              <w:bottom w:val="nil"/>
              <w:right w:val="nil"/>
            </w:tcBorders>
            <w:shd w:val="clear" w:color="000000" w:fill="CEDC81"/>
            <w:noWrap/>
            <w:vAlign w:val="bottom"/>
            <w:hideMark/>
          </w:tcPr>
          <w:p w14:paraId="33D1BB4B" w14:textId="77777777" w:rsidR="00392AB2" w:rsidRPr="0031411A" w:rsidRDefault="00392AB2" w:rsidP="00392AB2">
            <w:pPr>
              <w:spacing w:line="240" w:lineRule="auto"/>
              <w:jc w:val="right"/>
              <w:rPr>
                <w:rFonts w:cs="Arial"/>
                <w:color w:val="000000"/>
                <w:sz w:val="16"/>
                <w:szCs w:val="16"/>
              </w:rPr>
            </w:pPr>
            <w:r w:rsidRPr="0031411A">
              <w:rPr>
                <w:rFonts w:cs="Arial"/>
                <w:color w:val="000000"/>
                <w:sz w:val="16"/>
                <w:szCs w:val="16"/>
              </w:rPr>
              <w:t>0,07</w:t>
            </w:r>
          </w:p>
        </w:tc>
        <w:tc>
          <w:tcPr>
            <w:tcW w:w="1200" w:type="dxa"/>
            <w:tcBorders>
              <w:top w:val="single" w:sz="4" w:space="0" w:color="auto"/>
              <w:left w:val="single" w:sz="4" w:space="0" w:color="auto"/>
              <w:bottom w:val="nil"/>
              <w:right w:val="nil"/>
            </w:tcBorders>
            <w:shd w:val="clear" w:color="000000" w:fill="68BF7B"/>
            <w:noWrap/>
            <w:vAlign w:val="bottom"/>
            <w:hideMark/>
          </w:tcPr>
          <w:p w14:paraId="100B0231" w14:textId="77777777" w:rsidR="00392AB2" w:rsidRPr="0031411A" w:rsidRDefault="00392AB2" w:rsidP="00392AB2">
            <w:pPr>
              <w:spacing w:line="240" w:lineRule="auto"/>
              <w:jc w:val="right"/>
              <w:rPr>
                <w:rFonts w:cs="Arial"/>
                <w:color w:val="000000"/>
                <w:sz w:val="16"/>
                <w:szCs w:val="16"/>
              </w:rPr>
            </w:pPr>
            <w:r w:rsidRPr="0031411A">
              <w:rPr>
                <w:rFonts w:cs="Arial"/>
                <w:color w:val="000000"/>
                <w:sz w:val="16"/>
                <w:szCs w:val="16"/>
              </w:rPr>
              <w:t>0,02</w:t>
            </w:r>
          </w:p>
        </w:tc>
        <w:tc>
          <w:tcPr>
            <w:tcW w:w="1200" w:type="dxa"/>
            <w:tcBorders>
              <w:top w:val="single" w:sz="4" w:space="0" w:color="auto"/>
              <w:left w:val="single" w:sz="4" w:space="0" w:color="auto"/>
              <w:bottom w:val="nil"/>
              <w:right w:val="nil"/>
            </w:tcBorders>
            <w:shd w:val="clear" w:color="000000" w:fill="FFE283"/>
            <w:noWrap/>
            <w:vAlign w:val="bottom"/>
            <w:hideMark/>
          </w:tcPr>
          <w:p w14:paraId="115FD264" w14:textId="77777777" w:rsidR="00392AB2" w:rsidRPr="0031411A" w:rsidRDefault="00392AB2" w:rsidP="00392AB2">
            <w:pPr>
              <w:spacing w:line="240" w:lineRule="auto"/>
              <w:jc w:val="right"/>
              <w:rPr>
                <w:rFonts w:cs="Arial"/>
                <w:color w:val="000000"/>
                <w:sz w:val="16"/>
                <w:szCs w:val="16"/>
              </w:rPr>
            </w:pPr>
            <w:r w:rsidRPr="0031411A">
              <w:rPr>
                <w:rFonts w:cs="Arial"/>
                <w:color w:val="000000"/>
                <w:sz w:val="16"/>
                <w:szCs w:val="16"/>
              </w:rPr>
              <w:t>0,10</w:t>
            </w:r>
          </w:p>
        </w:tc>
        <w:tc>
          <w:tcPr>
            <w:tcW w:w="1200" w:type="dxa"/>
            <w:tcBorders>
              <w:top w:val="single" w:sz="4" w:space="0" w:color="auto"/>
              <w:left w:val="single" w:sz="4" w:space="0" w:color="auto"/>
              <w:bottom w:val="nil"/>
              <w:right w:val="nil"/>
            </w:tcBorders>
            <w:shd w:val="clear" w:color="000000" w:fill="FFDD82"/>
            <w:noWrap/>
            <w:vAlign w:val="bottom"/>
            <w:hideMark/>
          </w:tcPr>
          <w:p w14:paraId="24170FD6" w14:textId="77777777" w:rsidR="00392AB2" w:rsidRPr="0031411A" w:rsidRDefault="00392AB2" w:rsidP="00392AB2">
            <w:pPr>
              <w:spacing w:line="240" w:lineRule="auto"/>
              <w:jc w:val="right"/>
              <w:rPr>
                <w:rFonts w:cs="Arial"/>
                <w:color w:val="000000"/>
                <w:sz w:val="16"/>
                <w:szCs w:val="16"/>
              </w:rPr>
            </w:pPr>
            <w:r w:rsidRPr="0031411A">
              <w:rPr>
                <w:rFonts w:cs="Arial"/>
                <w:color w:val="000000"/>
                <w:sz w:val="16"/>
                <w:szCs w:val="16"/>
              </w:rPr>
              <w:t>0,11</w:t>
            </w:r>
          </w:p>
        </w:tc>
      </w:tr>
      <w:tr w:rsidR="00392AB2" w:rsidRPr="0031411A" w14:paraId="7FE9D4B1" w14:textId="77777777" w:rsidTr="002E4067">
        <w:trPr>
          <w:trHeight w:val="29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2DDB6179" w14:textId="77777777" w:rsidR="00392AB2" w:rsidRPr="0031411A" w:rsidRDefault="00392AB2" w:rsidP="00392AB2">
            <w:pPr>
              <w:spacing w:line="240" w:lineRule="auto"/>
              <w:jc w:val="right"/>
              <w:rPr>
                <w:rFonts w:cs="Arial"/>
                <w:color w:val="000000"/>
                <w:sz w:val="16"/>
                <w:szCs w:val="16"/>
              </w:rPr>
            </w:pPr>
            <w:r w:rsidRPr="0031411A">
              <w:rPr>
                <w:rFonts w:cs="Arial"/>
                <w:color w:val="000000"/>
                <w:sz w:val="16"/>
                <w:szCs w:val="16"/>
              </w:rPr>
              <w:t>63000 m</w:t>
            </w:r>
            <w:r w:rsidRPr="0031411A">
              <w:rPr>
                <w:rFonts w:cs="Arial"/>
                <w:color w:val="000000"/>
                <w:sz w:val="16"/>
                <w:szCs w:val="16"/>
                <w:vertAlign w:val="superscript"/>
              </w:rPr>
              <w:t>3</w:t>
            </w:r>
            <w:r w:rsidRPr="0031411A">
              <w:rPr>
                <w:rFonts w:cs="Arial"/>
                <w:color w:val="000000"/>
                <w:sz w:val="16"/>
                <w:szCs w:val="16"/>
              </w:rPr>
              <w:t xml:space="preserve"> /h</w:t>
            </w:r>
          </w:p>
        </w:tc>
        <w:tc>
          <w:tcPr>
            <w:tcW w:w="1200" w:type="dxa"/>
            <w:tcBorders>
              <w:top w:val="single" w:sz="4" w:space="0" w:color="auto"/>
              <w:left w:val="single" w:sz="4" w:space="0" w:color="auto"/>
              <w:bottom w:val="nil"/>
              <w:right w:val="nil"/>
            </w:tcBorders>
            <w:shd w:val="clear" w:color="000000" w:fill="D6DF81"/>
            <w:noWrap/>
            <w:vAlign w:val="bottom"/>
            <w:hideMark/>
          </w:tcPr>
          <w:p w14:paraId="5437283C" w14:textId="77777777" w:rsidR="00392AB2" w:rsidRPr="0031411A" w:rsidRDefault="00392AB2" w:rsidP="00392AB2">
            <w:pPr>
              <w:spacing w:line="240" w:lineRule="auto"/>
              <w:jc w:val="right"/>
              <w:rPr>
                <w:rFonts w:cs="Arial"/>
                <w:color w:val="000000"/>
                <w:sz w:val="16"/>
                <w:szCs w:val="16"/>
              </w:rPr>
            </w:pPr>
            <w:r w:rsidRPr="0031411A">
              <w:rPr>
                <w:rFonts w:cs="Arial"/>
                <w:color w:val="000000"/>
                <w:sz w:val="16"/>
                <w:szCs w:val="16"/>
              </w:rPr>
              <w:t>0,07</w:t>
            </w:r>
          </w:p>
        </w:tc>
        <w:tc>
          <w:tcPr>
            <w:tcW w:w="1200" w:type="dxa"/>
            <w:tcBorders>
              <w:top w:val="single" w:sz="4" w:space="0" w:color="auto"/>
              <w:left w:val="single" w:sz="4" w:space="0" w:color="auto"/>
              <w:bottom w:val="nil"/>
              <w:right w:val="nil"/>
            </w:tcBorders>
            <w:shd w:val="clear" w:color="000000" w:fill="63BE7B"/>
            <w:noWrap/>
            <w:vAlign w:val="bottom"/>
            <w:hideMark/>
          </w:tcPr>
          <w:p w14:paraId="630F785C" w14:textId="77777777" w:rsidR="00392AB2" w:rsidRPr="0031411A" w:rsidRDefault="00392AB2" w:rsidP="00392AB2">
            <w:pPr>
              <w:spacing w:line="240" w:lineRule="auto"/>
              <w:jc w:val="right"/>
              <w:rPr>
                <w:rFonts w:cs="Arial"/>
                <w:color w:val="000000"/>
                <w:sz w:val="16"/>
                <w:szCs w:val="16"/>
              </w:rPr>
            </w:pPr>
            <w:r w:rsidRPr="0031411A">
              <w:rPr>
                <w:rFonts w:cs="Arial"/>
                <w:color w:val="000000"/>
                <w:sz w:val="16"/>
                <w:szCs w:val="16"/>
              </w:rPr>
              <w:t>0,01</w:t>
            </w:r>
          </w:p>
        </w:tc>
        <w:tc>
          <w:tcPr>
            <w:tcW w:w="1200" w:type="dxa"/>
            <w:tcBorders>
              <w:top w:val="single" w:sz="4" w:space="0" w:color="auto"/>
              <w:left w:val="single" w:sz="4" w:space="0" w:color="auto"/>
              <w:bottom w:val="nil"/>
              <w:right w:val="nil"/>
            </w:tcBorders>
            <w:shd w:val="clear" w:color="000000" w:fill="BCD780"/>
            <w:noWrap/>
            <w:vAlign w:val="bottom"/>
            <w:hideMark/>
          </w:tcPr>
          <w:p w14:paraId="63895735" w14:textId="77777777" w:rsidR="00392AB2" w:rsidRPr="0031411A" w:rsidRDefault="00392AB2" w:rsidP="00392AB2">
            <w:pPr>
              <w:spacing w:line="240" w:lineRule="auto"/>
              <w:jc w:val="right"/>
              <w:rPr>
                <w:rFonts w:cs="Arial"/>
                <w:color w:val="000000"/>
                <w:sz w:val="16"/>
                <w:szCs w:val="16"/>
              </w:rPr>
            </w:pPr>
            <w:r w:rsidRPr="0031411A">
              <w:rPr>
                <w:rFonts w:cs="Arial"/>
                <w:color w:val="000000"/>
                <w:sz w:val="16"/>
                <w:szCs w:val="16"/>
              </w:rPr>
              <w:t>0,06</w:t>
            </w:r>
          </w:p>
        </w:tc>
        <w:tc>
          <w:tcPr>
            <w:tcW w:w="1200" w:type="dxa"/>
            <w:tcBorders>
              <w:top w:val="single" w:sz="4" w:space="0" w:color="auto"/>
              <w:left w:val="single" w:sz="4" w:space="0" w:color="auto"/>
              <w:bottom w:val="nil"/>
              <w:right w:val="nil"/>
            </w:tcBorders>
            <w:shd w:val="clear" w:color="000000" w:fill="FFE383"/>
            <w:noWrap/>
            <w:vAlign w:val="bottom"/>
            <w:hideMark/>
          </w:tcPr>
          <w:p w14:paraId="26E37AC6" w14:textId="77777777" w:rsidR="00392AB2" w:rsidRPr="0031411A" w:rsidRDefault="00392AB2" w:rsidP="00392AB2">
            <w:pPr>
              <w:spacing w:line="240" w:lineRule="auto"/>
              <w:jc w:val="right"/>
              <w:rPr>
                <w:rFonts w:cs="Arial"/>
                <w:color w:val="000000"/>
                <w:sz w:val="16"/>
                <w:szCs w:val="16"/>
              </w:rPr>
            </w:pPr>
            <w:r w:rsidRPr="0031411A">
              <w:rPr>
                <w:rFonts w:cs="Arial"/>
                <w:color w:val="000000"/>
                <w:sz w:val="16"/>
                <w:szCs w:val="16"/>
              </w:rPr>
              <w:t>0,10</w:t>
            </w:r>
          </w:p>
        </w:tc>
      </w:tr>
    </w:tbl>
    <w:p w14:paraId="4891978A" w14:textId="77777777" w:rsidR="00703282" w:rsidRPr="0031411A" w:rsidRDefault="00703282" w:rsidP="008A7A34"/>
    <w:p w14:paraId="146F721C" w14:textId="77777777" w:rsidR="00317D3B" w:rsidRPr="0031411A" w:rsidRDefault="00317D3B" w:rsidP="008A7A34">
      <w:r w:rsidRPr="0031411A">
        <w:t>Uit dit vergelijk blijkt duidelijk dat het efficiënter is om een m</w:t>
      </w:r>
      <w:r w:rsidRPr="0031411A">
        <w:rPr>
          <w:vertAlign w:val="superscript"/>
        </w:rPr>
        <w:t>3</w:t>
      </w:r>
      <w:r w:rsidRPr="0031411A">
        <w:t xml:space="preserve"> lucht te behandelen met een kast met een zo’n groot mogelijke capaciteit</w:t>
      </w:r>
      <w:r w:rsidR="00392AB2" w:rsidRPr="0031411A">
        <w:t xml:space="preserve"> (van rood naar groen)</w:t>
      </w:r>
      <w:r w:rsidRPr="0031411A">
        <w:t>.</w:t>
      </w:r>
      <w:r w:rsidR="00F25683" w:rsidRPr="0031411A">
        <w:t xml:space="preserve"> Zo neemt de schaduwprijs per m</w:t>
      </w:r>
      <w:r w:rsidR="00F25683" w:rsidRPr="0031411A">
        <w:rPr>
          <w:vertAlign w:val="superscript"/>
        </w:rPr>
        <w:t>3</w:t>
      </w:r>
      <w:r w:rsidR="00F25683" w:rsidRPr="0031411A">
        <w:t xml:space="preserve"> bij een LBK met warmtewiel af van 0,22 naar 0,06.</w:t>
      </w:r>
      <w:r w:rsidRPr="0031411A">
        <w:t xml:space="preserve"> Vanuit milieuprestatie is het gunstiger om centraal met een grotere kast te ventileren.</w:t>
      </w:r>
    </w:p>
    <w:p w14:paraId="12796202" w14:textId="77777777" w:rsidR="00317D3B" w:rsidRPr="0031411A" w:rsidRDefault="00317D3B" w:rsidP="008A7A34"/>
    <w:p w14:paraId="55B1A54A" w14:textId="77777777" w:rsidR="00F25683" w:rsidRDefault="00EF4B90" w:rsidP="008A7A34">
      <w:r w:rsidRPr="0031411A">
        <w:t xml:space="preserve">De kasten met warmteterugwinning bevatten meer materialen en technische componenten en hebben daarmee een hogere milieuprestatie dan de andere twee typen. In de toepassing zorgen ze echter voor een milieuwinst door deze warmteterugwinning. </w:t>
      </w:r>
      <w:r w:rsidR="00012D70" w:rsidRPr="0031411A">
        <w:t>Om dit te illustreren hebben we een CO</w:t>
      </w:r>
      <w:r w:rsidR="00012D70" w:rsidRPr="0031411A">
        <w:rPr>
          <w:vertAlign w:val="subscript"/>
        </w:rPr>
        <w:t>2</w:t>
      </w:r>
      <w:r w:rsidR="00012D70" w:rsidRPr="0031411A">
        <w:t xml:space="preserve"> balans gemaakt van een installatie met een capaciteit van 10.000 m</w:t>
      </w:r>
      <w:r w:rsidR="00012D70" w:rsidRPr="0031411A">
        <w:rPr>
          <w:vertAlign w:val="superscript"/>
        </w:rPr>
        <w:t>3</w:t>
      </w:r>
      <w:r w:rsidR="00012D70" w:rsidRPr="0031411A">
        <w:t xml:space="preserve">/h voorzien van een warmtewiel. Er is uitgegaan van een referentiesituatie tijdens kantooruren (2700 vollasturen). </w:t>
      </w:r>
    </w:p>
    <w:p w14:paraId="52C1BA61" w14:textId="77777777" w:rsidR="00E15112" w:rsidRPr="0031411A" w:rsidRDefault="00E15112" w:rsidP="008A7A34">
      <w:bookmarkStart w:id="0" w:name="_GoBack"/>
      <w:bookmarkEnd w:id="0"/>
    </w:p>
    <w:p w14:paraId="1B1EFB6D" w14:textId="720398ED" w:rsidR="00F25683" w:rsidRPr="0031411A" w:rsidRDefault="00D9185B" w:rsidP="008A7A34">
      <w:r w:rsidRPr="0031411A">
        <w:rPr>
          <w:noProof/>
          <w:lang w:val="en-US" w:eastAsia="en-US"/>
        </w:rPr>
        <w:drawing>
          <wp:inline distT="0" distB="0" distL="0" distR="0" wp14:anchorId="0F0EA407" wp14:editId="76C319A0">
            <wp:extent cx="4572000" cy="2743200"/>
            <wp:effectExtent l="0" t="0" r="0" b="0"/>
            <wp:docPr id="1"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EA03B86" w14:textId="77777777" w:rsidR="00F25683" w:rsidRPr="0031411A" w:rsidRDefault="00F25683" w:rsidP="00F25683">
      <w:pPr>
        <w:pStyle w:val="Caption"/>
      </w:pPr>
      <w:r w:rsidRPr="0031411A">
        <w:t xml:space="preserve">Figuur </w:t>
      </w:r>
      <w:r w:rsidR="006C36E0">
        <w:fldChar w:fldCharType="begin"/>
      </w:r>
      <w:r w:rsidR="006C36E0">
        <w:instrText xml:space="preserve"> SEQ Figuur \* ARABIC </w:instrText>
      </w:r>
      <w:r w:rsidR="006C36E0">
        <w:fldChar w:fldCharType="separate"/>
      </w:r>
      <w:r w:rsidRPr="0031411A">
        <w:rPr>
          <w:noProof/>
        </w:rPr>
        <w:t>3</w:t>
      </w:r>
      <w:r w:rsidR="006C36E0">
        <w:rPr>
          <w:noProof/>
        </w:rPr>
        <w:fldChar w:fldCharType="end"/>
      </w:r>
      <w:r w:rsidRPr="0031411A">
        <w:t xml:space="preserve"> CO2 balans LBK met warmtewiel over 25 jaar</w:t>
      </w:r>
    </w:p>
    <w:p w14:paraId="34183CA0" w14:textId="77777777" w:rsidR="006556FC" w:rsidRPr="0031411A" w:rsidRDefault="006556FC" w:rsidP="008A7A34"/>
    <w:p w14:paraId="5BF76B73" w14:textId="77777777" w:rsidR="00F00972" w:rsidRPr="0031411A" w:rsidRDefault="00F00972" w:rsidP="008A7A34"/>
    <w:p w14:paraId="20DAA1C4" w14:textId="77777777" w:rsidR="00EF4B90" w:rsidRPr="0031411A" w:rsidRDefault="006556FC" w:rsidP="008A7A34">
      <w:r w:rsidRPr="0031411A">
        <w:t xml:space="preserve">In figuur 3 is de balans opgenomen. </w:t>
      </w:r>
      <w:r w:rsidR="00F25683" w:rsidRPr="0031411A">
        <w:t xml:space="preserve">Op de onderste balk in de figuur is de milieuprestatie van de installatie opgenomen vertaald naar CO2 equivalenten (5550). </w:t>
      </w:r>
      <w:r w:rsidR="00012D70" w:rsidRPr="0031411A">
        <w:t>Op jaarbasis wordt</w:t>
      </w:r>
      <w:r w:rsidR="00F25683" w:rsidRPr="0031411A">
        <w:t xml:space="preserve"> met deze installatie</w:t>
      </w:r>
      <w:r w:rsidR="00012D70" w:rsidRPr="0031411A">
        <w:t xml:space="preserve"> ruim 10.000 m</w:t>
      </w:r>
      <w:r w:rsidR="00012D70" w:rsidRPr="0031411A">
        <w:rPr>
          <w:vertAlign w:val="superscript"/>
        </w:rPr>
        <w:t>3</w:t>
      </w:r>
      <w:r w:rsidR="00012D70" w:rsidRPr="0031411A">
        <w:t xml:space="preserve"> gas bespaard</w:t>
      </w:r>
      <w:r w:rsidR="00607EAD" w:rsidRPr="0031411A">
        <w:t xml:space="preserve">, de CO2 </w:t>
      </w:r>
      <w:r w:rsidRPr="0031411A">
        <w:t>equivalenten</w:t>
      </w:r>
      <w:r w:rsidR="00607EAD" w:rsidRPr="0031411A">
        <w:t xml:space="preserve"> hiervan zijn uitgezet in de 2</w:t>
      </w:r>
      <w:r w:rsidR="00607EAD" w:rsidRPr="0031411A">
        <w:rPr>
          <w:vertAlign w:val="superscript"/>
        </w:rPr>
        <w:t>e</w:t>
      </w:r>
      <w:r w:rsidR="00607EAD" w:rsidRPr="0031411A">
        <w:t xml:space="preserve"> balk als een negatieve post op de balans (besparing) van – 475.239 kg CO</w:t>
      </w:r>
      <w:r w:rsidR="00607EAD" w:rsidRPr="0031411A">
        <w:rPr>
          <w:vertAlign w:val="subscript"/>
        </w:rPr>
        <w:t>2</w:t>
      </w:r>
      <w:r w:rsidR="00607EAD" w:rsidRPr="0031411A">
        <w:t>. D</w:t>
      </w:r>
      <w:r w:rsidR="00012D70" w:rsidRPr="0031411A">
        <w:t xml:space="preserve">e installatie heeft een hoger </w:t>
      </w:r>
      <w:r w:rsidRPr="0031411A">
        <w:t>electra verbruik</w:t>
      </w:r>
      <w:r w:rsidR="00012D70" w:rsidRPr="0031411A">
        <w:t xml:space="preserve"> ten gevolge van het warmtewiel van ca. 2.100 kWh per jaar.</w:t>
      </w:r>
      <w:r w:rsidRPr="0031411A">
        <w:t xml:space="preserve"> Deze CO2 belasting is uitgezet in de derde balk (18.957)</w:t>
      </w:r>
      <w:r w:rsidR="00012D70" w:rsidRPr="0031411A">
        <w:t xml:space="preserve"> In </w:t>
      </w:r>
      <w:r w:rsidRPr="0031411A">
        <w:t>de bovenste balk is het saldo (balans) van de 3 posten uitgezet. D</w:t>
      </w:r>
      <w:r w:rsidR="00012D70" w:rsidRPr="0031411A">
        <w:t xml:space="preserve">e totale </w:t>
      </w:r>
      <w:r w:rsidR="00012D70" w:rsidRPr="0031411A">
        <w:lastRenderedPageBreak/>
        <w:t>besparing aan CO</w:t>
      </w:r>
      <w:r w:rsidR="00012D70" w:rsidRPr="0031411A">
        <w:rPr>
          <w:vertAlign w:val="subscript"/>
        </w:rPr>
        <w:t>2</w:t>
      </w:r>
      <w:r w:rsidR="00012D70" w:rsidRPr="0031411A">
        <w:t xml:space="preserve"> over de levensduur bedraagt ruim 450 ton CO</w:t>
      </w:r>
      <w:r w:rsidR="00012D70" w:rsidRPr="0031411A">
        <w:rPr>
          <w:vertAlign w:val="subscript"/>
        </w:rPr>
        <w:t>2</w:t>
      </w:r>
      <w:r w:rsidR="00012D70" w:rsidRPr="0031411A">
        <w:t>. Duidelijk is dat warmteterugwinning over de levensduur een duurzame keuze is.</w:t>
      </w:r>
    </w:p>
    <w:p w14:paraId="7E7C954C" w14:textId="77777777" w:rsidR="00012D70" w:rsidRPr="0031411A" w:rsidRDefault="00012D70" w:rsidP="008A7A34"/>
    <w:p w14:paraId="0C786E30" w14:textId="77777777" w:rsidR="006556FC" w:rsidRPr="0031411A" w:rsidRDefault="006556FC" w:rsidP="008A7A34">
      <w:pPr>
        <w:rPr>
          <w:b/>
          <w:i/>
        </w:rPr>
      </w:pPr>
      <w:r w:rsidRPr="0031411A">
        <w:rPr>
          <w:b/>
          <w:i/>
        </w:rPr>
        <w:t>Recycling van materialen</w:t>
      </w:r>
    </w:p>
    <w:p w14:paraId="0327D85F" w14:textId="77777777" w:rsidR="00317D3B" w:rsidRPr="0031411A" w:rsidRDefault="00317D3B" w:rsidP="008A7A34">
      <w:r w:rsidRPr="0031411A">
        <w:t xml:space="preserve">De luchtbehandelingskast bestaat uit een samenstelling van hoogwaardige technische onderdelen in een duurzame behuizing. Veel van deze onderdelen kunnen na einde levensduur gerecycled of zelfs hergebruikt worden. In de milieuprestatie komt dit tot uitdrukking in een negatief milieueffect, de materalen zijn dan immers weer nieuwe grondstoffen en hiermee worden primaire grondstoffen uitgespaard. De verhouding tussen recycling en productie geeft inzicht in de mate waarin het geheel wordt gerecycled of hergebruikt (circulair). Deze fracties zijn weergegeven in </w:t>
      </w:r>
      <w:r w:rsidR="006556FC" w:rsidRPr="0031411A">
        <w:t>tabel</w:t>
      </w:r>
      <w:r w:rsidRPr="0031411A">
        <w:t xml:space="preserve"> </w:t>
      </w:r>
      <w:r w:rsidR="006556FC" w:rsidRPr="0031411A">
        <w:t>3</w:t>
      </w:r>
      <w:r w:rsidRPr="0031411A">
        <w:t>.</w:t>
      </w:r>
    </w:p>
    <w:p w14:paraId="2AA45914" w14:textId="77777777" w:rsidR="00317D3B" w:rsidRPr="0031411A" w:rsidRDefault="00317D3B" w:rsidP="008A7A34"/>
    <w:p w14:paraId="7DFA2051" w14:textId="77777777" w:rsidR="006556FC" w:rsidRPr="0031411A" w:rsidRDefault="006556FC" w:rsidP="006556FC">
      <w:pPr>
        <w:pStyle w:val="Caption"/>
        <w:keepNext/>
      </w:pPr>
      <w:r w:rsidRPr="0031411A">
        <w:t xml:space="preserve">Tabel </w:t>
      </w:r>
      <w:r w:rsidR="006C36E0">
        <w:fldChar w:fldCharType="begin"/>
      </w:r>
      <w:r w:rsidR="006C36E0">
        <w:instrText xml:space="preserve"> SEQ Tabel \* ARABIC </w:instrText>
      </w:r>
      <w:r w:rsidR="006C36E0">
        <w:fldChar w:fldCharType="separate"/>
      </w:r>
      <w:r w:rsidRPr="0031411A">
        <w:rPr>
          <w:noProof/>
        </w:rPr>
        <w:t>3</w:t>
      </w:r>
      <w:r w:rsidR="006C36E0">
        <w:rPr>
          <w:noProof/>
        </w:rPr>
        <w:fldChar w:fldCharType="end"/>
      </w:r>
      <w:r w:rsidRPr="0031411A">
        <w:t xml:space="preserve"> verhouding tussen milieubelasting bij de productie en gebruik en de milieuwinst bij de recycling</w:t>
      </w:r>
    </w:p>
    <w:tbl>
      <w:tblPr>
        <w:tblW w:w="8220" w:type="dxa"/>
        <w:tblLayout w:type="fixed"/>
        <w:tblCellMar>
          <w:left w:w="70" w:type="dxa"/>
          <w:right w:w="70" w:type="dxa"/>
        </w:tblCellMar>
        <w:tblLook w:val="04A0" w:firstRow="1" w:lastRow="0" w:firstColumn="1" w:lastColumn="0" w:noHBand="0" w:noVBand="1"/>
      </w:tblPr>
      <w:tblGrid>
        <w:gridCol w:w="3000"/>
        <w:gridCol w:w="1305"/>
        <w:gridCol w:w="1305"/>
        <w:gridCol w:w="1305"/>
        <w:gridCol w:w="1305"/>
      </w:tblGrid>
      <w:tr w:rsidR="00317D3B" w:rsidRPr="0031411A" w14:paraId="1C63C050" w14:textId="77777777" w:rsidTr="006556FC">
        <w:trPr>
          <w:trHeight w:val="290"/>
        </w:trPr>
        <w:tc>
          <w:tcPr>
            <w:tcW w:w="3000" w:type="dxa"/>
            <w:tcBorders>
              <w:top w:val="nil"/>
              <w:left w:val="nil"/>
              <w:bottom w:val="nil"/>
              <w:right w:val="nil"/>
            </w:tcBorders>
            <w:shd w:val="clear" w:color="000000" w:fill="00B0F0"/>
            <w:noWrap/>
            <w:vAlign w:val="bottom"/>
            <w:hideMark/>
          </w:tcPr>
          <w:p w14:paraId="7FB6C247" w14:textId="77777777" w:rsidR="00317D3B" w:rsidRPr="0031411A" w:rsidRDefault="00317D3B" w:rsidP="00317D3B">
            <w:pPr>
              <w:spacing w:line="240" w:lineRule="auto"/>
              <w:rPr>
                <w:rFonts w:cs="Arial"/>
                <w:b/>
                <w:bCs/>
                <w:color w:val="000000"/>
                <w:sz w:val="16"/>
                <w:szCs w:val="16"/>
              </w:rPr>
            </w:pPr>
            <w:r w:rsidRPr="0031411A">
              <w:rPr>
                <w:rFonts w:cs="Arial"/>
                <w:b/>
                <w:bCs/>
                <w:color w:val="000000"/>
                <w:sz w:val="16"/>
                <w:szCs w:val="16"/>
              </w:rPr>
              <w:t>Fractie Recycling/Productie</w:t>
            </w:r>
          </w:p>
        </w:tc>
        <w:tc>
          <w:tcPr>
            <w:tcW w:w="1305" w:type="dxa"/>
            <w:tcBorders>
              <w:top w:val="nil"/>
              <w:left w:val="nil"/>
              <w:bottom w:val="nil"/>
              <w:right w:val="nil"/>
            </w:tcBorders>
            <w:shd w:val="clear" w:color="000000" w:fill="00B0F0"/>
            <w:noWrap/>
            <w:vAlign w:val="bottom"/>
            <w:hideMark/>
          </w:tcPr>
          <w:p w14:paraId="21480B91" w14:textId="77777777" w:rsidR="00317D3B" w:rsidRPr="0031411A" w:rsidRDefault="00317D3B" w:rsidP="00317D3B">
            <w:pPr>
              <w:spacing w:line="240" w:lineRule="auto"/>
              <w:rPr>
                <w:rFonts w:cs="Arial"/>
                <w:color w:val="000000"/>
                <w:sz w:val="16"/>
                <w:szCs w:val="16"/>
              </w:rPr>
            </w:pPr>
            <w:r w:rsidRPr="0031411A">
              <w:rPr>
                <w:rFonts w:cs="Arial"/>
                <w:color w:val="000000"/>
                <w:sz w:val="16"/>
                <w:szCs w:val="16"/>
              </w:rPr>
              <w:t> </w:t>
            </w:r>
          </w:p>
        </w:tc>
        <w:tc>
          <w:tcPr>
            <w:tcW w:w="1305" w:type="dxa"/>
            <w:tcBorders>
              <w:top w:val="nil"/>
              <w:left w:val="nil"/>
              <w:bottom w:val="nil"/>
              <w:right w:val="nil"/>
            </w:tcBorders>
            <w:shd w:val="clear" w:color="000000" w:fill="00B0F0"/>
            <w:noWrap/>
            <w:vAlign w:val="bottom"/>
            <w:hideMark/>
          </w:tcPr>
          <w:p w14:paraId="63F07132" w14:textId="77777777" w:rsidR="00317D3B" w:rsidRPr="0031411A" w:rsidRDefault="00317D3B" w:rsidP="00317D3B">
            <w:pPr>
              <w:spacing w:line="240" w:lineRule="auto"/>
              <w:rPr>
                <w:rFonts w:cs="Arial"/>
                <w:color w:val="000000"/>
                <w:sz w:val="16"/>
                <w:szCs w:val="16"/>
              </w:rPr>
            </w:pPr>
            <w:r w:rsidRPr="0031411A">
              <w:rPr>
                <w:rFonts w:cs="Arial"/>
                <w:color w:val="000000"/>
                <w:sz w:val="16"/>
                <w:szCs w:val="16"/>
              </w:rPr>
              <w:t> </w:t>
            </w:r>
          </w:p>
        </w:tc>
        <w:tc>
          <w:tcPr>
            <w:tcW w:w="1305" w:type="dxa"/>
            <w:tcBorders>
              <w:top w:val="nil"/>
              <w:left w:val="nil"/>
              <w:bottom w:val="nil"/>
              <w:right w:val="nil"/>
            </w:tcBorders>
            <w:shd w:val="clear" w:color="000000" w:fill="00B0F0"/>
            <w:noWrap/>
            <w:vAlign w:val="bottom"/>
            <w:hideMark/>
          </w:tcPr>
          <w:p w14:paraId="1A337BDC" w14:textId="77777777" w:rsidR="00317D3B" w:rsidRPr="0031411A" w:rsidRDefault="00317D3B" w:rsidP="00317D3B">
            <w:pPr>
              <w:spacing w:line="240" w:lineRule="auto"/>
              <w:rPr>
                <w:rFonts w:cs="Arial"/>
                <w:color w:val="000000"/>
                <w:sz w:val="16"/>
                <w:szCs w:val="16"/>
              </w:rPr>
            </w:pPr>
            <w:r w:rsidRPr="0031411A">
              <w:rPr>
                <w:rFonts w:cs="Arial"/>
                <w:color w:val="000000"/>
                <w:sz w:val="16"/>
                <w:szCs w:val="16"/>
              </w:rPr>
              <w:t> </w:t>
            </w:r>
          </w:p>
        </w:tc>
        <w:tc>
          <w:tcPr>
            <w:tcW w:w="1305" w:type="dxa"/>
            <w:tcBorders>
              <w:top w:val="nil"/>
              <w:left w:val="nil"/>
              <w:bottom w:val="nil"/>
              <w:right w:val="nil"/>
            </w:tcBorders>
            <w:shd w:val="clear" w:color="000000" w:fill="00B0F0"/>
            <w:noWrap/>
            <w:vAlign w:val="bottom"/>
            <w:hideMark/>
          </w:tcPr>
          <w:p w14:paraId="44236197" w14:textId="77777777" w:rsidR="00317D3B" w:rsidRPr="0031411A" w:rsidRDefault="00317D3B" w:rsidP="00317D3B">
            <w:pPr>
              <w:spacing w:line="240" w:lineRule="auto"/>
              <w:rPr>
                <w:rFonts w:cs="Arial"/>
                <w:color w:val="000000"/>
                <w:sz w:val="16"/>
                <w:szCs w:val="16"/>
              </w:rPr>
            </w:pPr>
            <w:r w:rsidRPr="0031411A">
              <w:rPr>
                <w:rFonts w:cs="Arial"/>
                <w:color w:val="000000"/>
                <w:sz w:val="16"/>
                <w:szCs w:val="16"/>
              </w:rPr>
              <w:t> </w:t>
            </w:r>
          </w:p>
        </w:tc>
      </w:tr>
      <w:tr w:rsidR="00012D70" w:rsidRPr="0031411A" w14:paraId="089CEA65" w14:textId="77777777" w:rsidTr="006556FC">
        <w:trPr>
          <w:trHeight w:val="290"/>
        </w:trPr>
        <w:tc>
          <w:tcPr>
            <w:tcW w:w="3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58A77" w14:textId="77777777" w:rsidR="00012D70" w:rsidRPr="0031411A" w:rsidRDefault="00012D70" w:rsidP="00012D70">
            <w:pPr>
              <w:spacing w:line="240" w:lineRule="auto"/>
              <w:rPr>
                <w:rFonts w:cs="Arial"/>
                <w:color w:val="000000"/>
                <w:sz w:val="16"/>
                <w:szCs w:val="16"/>
              </w:rPr>
            </w:pPr>
            <w:r w:rsidRPr="0031411A">
              <w:rPr>
                <w:rFonts w:cs="Arial"/>
                <w:color w:val="000000"/>
                <w:sz w:val="16"/>
                <w:szCs w:val="16"/>
              </w:rPr>
              <w:t>Debiet \ Kasttype</w:t>
            </w:r>
          </w:p>
        </w:tc>
        <w:tc>
          <w:tcPr>
            <w:tcW w:w="1305" w:type="dxa"/>
            <w:tcBorders>
              <w:top w:val="single" w:sz="4" w:space="0" w:color="auto"/>
              <w:left w:val="nil"/>
              <w:bottom w:val="single" w:sz="4" w:space="0" w:color="auto"/>
              <w:right w:val="single" w:sz="4" w:space="0" w:color="auto"/>
            </w:tcBorders>
            <w:shd w:val="clear" w:color="auto" w:fill="auto"/>
            <w:noWrap/>
            <w:vAlign w:val="bottom"/>
            <w:hideMark/>
          </w:tcPr>
          <w:p w14:paraId="502DC30F" w14:textId="77777777" w:rsidR="00012D70" w:rsidRPr="0031411A" w:rsidRDefault="00012D70" w:rsidP="00012D70">
            <w:pPr>
              <w:spacing w:line="240" w:lineRule="auto"/>
              <w:jc w:val="right"/>
              <w:rPr>
                <w:rFonts w:cs="Arial"/>
                <w:color w:val="000000"/>
                <w:sz w:val="16"/>
                <w:szCs w:val="16"/>
              </w:rPr>
            </w:pPr>
            <w:r w:rsidRPr="0031411A">
              <w:rPr>
                <w:rFonts w:cs="Arial"/>
                <w:color w:val="000000"/>
                <w:sz w:val="16"/>
                <w:szCs w:val="16"/>
              </w:rPr>
              <w:t>Toevoer</w:t>
            </w:r>
          </w:p>
        </w:tc>
        <w:tc>
          <w:tcPr>
            <w:tcW w:w="1305" w:type="dxa"/>
            <w:tcBorders>
              <w:top w:val="single" w:sz="4" w:space="0" w:color="auto"/>
              <w:left w:val="nil"/>
              <w:bottom w:val="single" w:sz="4" w:space="0" w:color="auto"/>
              <w:right w:val="single" w:sz="4" w:space="0" w:color="auto"/>
            </w:tcBorders>
            <w:shd w:val="clear" w:color="auto" w:fill="auto"/>
            <w:noWrap/>
            <w:vAlign w:val="bottom"/>
            <w:hideMark/>
          </w:tcPr>
          <w:p w14:paraId="06A0E966" w14:textId="77777777" w:rsidR="00012D70" w:rsidRPr="0031411A" w:rsidRDefault="00012D70" w:rsidP="00012D70">
            <w:pPr>
              <w:spacing w:line="240" w:lineRule="auto"/>
              <w:jc w:val="right"/>
              <w:rPr>
                <w:rFonts w:cs="Arial"/>
                <w:color w:val="000000"/>
                <w:sz w:val="16"/>
                <w:szCs w:val="16"/>
              </w:rPr>
            </w:pPr>
            <w:r w:rsidRPr="0031411A">
              <w:rPr>
                <w:rFonts w:cs="Arial"/>
                <w:color w:val="000000"/>
                <w:sz w:val="16"/>
                <w:szCs w:val="16"/>
              </w:rPr>
              <w:t>Afvoer</w:t>
            </w:r>
          </w:p>
        </w:tc>
        <w:tc>
          <w:tcPr>
            <w:tcW w:w="1305" w:type="dxa"/>
            <w:tcBorders>
              <w:top w:val="single" w:sz="4" w:space="0" w:color="auto"/>
              <w:left w:val="nil"/>
              <w:bottom w:val="single" w:sz="4" w:space="0" w:color="auto"/>
              <w:right w:val="single" w:sz="4" w:space="0" w:color="auto"/>
            </w:tcBorders>
            <w:shd w:val="clear" w:color="auto" w:fill="auto"/>
            <w:noWrap/>
            <w:vAlign w:val="bottom"/>
            <w:hideMark/>
          </w:tcPr>
          <w:p w14:paraId="6626A473" w14:textId="77777777" w:rsidR="00012D70" w:rsidRPr="0031411A" w:rsidRDefault="00012D70" w:rsidP="00012D70">
            <w:pPr>
              <w:spacing w:line="240" w:lineRule="auto"/>
              <w:jc w:val="right"/>
              <w:rPr>
                <w:rFonts w:cs="Arial"/>
                <w:color w:val="000000"/>
                <w:sz w:val="16"/>
                <w:szCs w:val="16"/>
              </w:rPr>
            </w:pPr>
            <w:r w:rsidRPr="0031411A">
              <w:rPr>
                <w:rFonts w:cs="Arial"/>
                <w:color w:val="000000"/>
                <w:sz w:val="16"/>
                <w:szCs w:val="16"/>
              </w:rPr>
              <w:t>Warmtewiel</w:t>
            </w:r>
          </w:p>
        </w:tc>
        <w:tc>
          <w:tcPr>
            <w:tcW w:w="1305" w:type="dxa"/>
            <w:tcBorders>
              <w:top w:val="single" w:sz="4" w:space="0" w:color="auto"/>
              <w:left w:val="nil"/>
              <w:bottom w:val="single" w:sz="4" w:space="0" w:color="auto"/>
              <w:right w:val="single" w:sz="4" w:space="0" w:color="auto"/>
            </w:tcBorders>
            <w:shd w:val="clear" w:color="auto" w:fill="auto"/>
            <w:noWrap/>
            <w:vAlign w:val="bottom"/>
            <w:hideMark/>
          </w:tcPr>
          <w:p w14:paraId="737FCB08" w14:textId="77777777" w:rsidR="00012D70" w:rsidRPr="0031411A" w:rsidRDefault="00012D70" w:rsidP="006556FC">
            <w:pPr>
              <w:spacing w:line="240" w:lineRule="auto"/>
              <w:jc w:val="right"/>
              <w:rPr>
                <w:rFonts w:cs="Arial"/>
                <w:color w:val="000000"/>
                <w:sz w:val="16"/>
                <w:szCs w:val="16"/>
              </w:rPr>
            </w:pPr>
            <w:r w:rsidRPr="0031411A">
              <w:rPr>
                <w:rFonts w:cs="Arial"/>
                <w:color w:val="000000"/>
                <w:sz w:val="16"/>
                <w:szCs w:val="16"/>
              </w:rPr>
              <w:t>Kruisstroom</w:t>
            </w:r>
          </w:p>
        </w:tc>
      </w:tr>
      <w:tr w:rsidR="006556FC" w:rsidRPr="0031411A" w14:paraId="1B101D13" w14:textId="77777777" w:rsidTr="006556FC">
        <w:trPr>
          <w:trHeight w:val="29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06D8DB2B" w14:textId="77777777" w:rsidR="006556FC" w:rsidRPr="0031411A" w:rsidRDefault="006556FC" w:rsidP="006556FC">
            <w:pPr>
              <w:spacing w:line="240" w:lineRule="auto"/>
              <w:jc w:val="right"/>
              <w:rPr>
                <w:rFonts w:cs="Arial"/>
                <w:color w:val="000000"/>
                <w:sz w:val="16"/>
                <w:szCs w:val="16"/>
              </w:rPr>
            </w:pPr>
            <w:r w:rsidRPr="0031411A">
              <w:rPr>
                <w:rFonts w:cs="Arial"/>
                <w:color w:val="000000"/>
                <w:sz w:val="16"/>
                <w:szCs w:val="16"/>
              </w:rPr>
              <w:t>2500 m</w:t>
            </w:r>
            <w:r w:rsidRPr="0031411A">
              <w:rPr>
                <w:rFonts w:cs="Arial"/>
                <w:color w:val="000000"/>
                <w:sz w:val="16"/>
                <w:szCs w:val="16"/>
                <w:vertAlign w:val="superscript"/>
              </w:rPr>
              <w:t>3</w:t>
            </w:r>
            <w:r w:rsidRPr="0031411A">
              <w:rPr>
                <w:rFonts w:cs="Arial"/>
                <w:color w:val="000000"/>
                <w:sz w:val="16"/>
                <w:szCs w:val="16"/>
              </w:rPr>
              <w:t xml:space="preserve"> /h</w:t>
            </w:r>
          </w:p>
        </w:tc>
        <w:tc>
          <w:tcPr>
            <w:tcW w:w="1305" w:type="dxa"/>
            <w:tcBorders>
              <w:top w:val="single" w:sz="4" w:space="0" w:color="auto"/>
              <w:left w:val="single" w:sz="4" w:space="0" w:color="auto"/>
              <w:bottom w:val="nil"/>
              <w:right w:val="nil"/>
            </w:tcBorders>
            <w:shd w:val="clear" w:color="000000" w:fill="F8696B"/>
            <w:noWrap/>
            <w:vAlign w:val="bottom"/>
            <w:hideMark/>
          </w:tcPr>
          <w:p w14:paraId="485CB61F" w14:textId="77777777" w:rsidR="006556FC" w:rsidRPr="0031411A" w:rsidRDefault="006556FC" w:rsidP="006556FC">
            <w:pPr>
              <w:spacing w:line="240" w:lineRule="auto"/>
              <w:jc w:val="right"/>
              <w:rPr>
                <w:rFonts w:cs="Arial"/>
                <w:color w:val="000000"/>
                <w:sz w:val="16"/>
                <w:szCs w:val="16"/>
              </w:rPr>
            </w:pPr>
            <w:r w:rsidRPr="0031411A">
              <w:rPr>
                <w:rFonts w:cs="Arial"/>
                <w:color w:val="000000"/>
                <w:sz w:val="16"/>
                <w:szCs w:val="16"/>
              </w:rPr>
              <w:t>0,30</w:t>
            </w:r>
          </w:p>
        </w:tc>
        <w:tc>
          <w:tcPr>
            <w:tcW w:w="1305" w:type="dxa"/>
            <w:tcBorders>
              <w:top w:val="single" w:sz="4" w:space="0" w:color="auto"/>
              <w:left w:val="nil"/>
              <w:bottom w:val="nil"/>
              <w:right w:val="nil"/>
            </w:tcBorders>
            <w:shd w:val="clear" w:color="000000" w:fill="EDE683"/>
            <w:noWrap/>
            <w:vAlign w:val="bottom"/>
            <w:hideMark/>
          </w:tcPr>
          <w:p w14:paraId="27C39144" w14:textId="77777777" w:rsidR="006556FC" w:rsidRPr="0031411A" w:rsidRDefault="006556FC" w:rsidP="006556FC">
            <w:pPr>
              <w:spacing w:line="240" w:lineRule="auto"/>
              <w:jc w:val="right"/>
              <w:rPr>
                <w:rFonts w:cs="Arial"/>
                <w:color w:val="000000"/>
                <w:sz w:val="16"/>
                <w:szCs w:val="16"/>
              </w:rPr>
            </w:pPr>
            <w:r w:rsidRPr="0031411A">
              <w:rPr>
                <w:rFonts w:cs="Arial"/>
                <w:color w:val="000000"/>
                <w:sz w:val="16"/>
                <w:szCs w:val="16"/>
              </w:rPr>
              <w:t>0,60</w:t>
            </w:r>
          </w:p>
        </w:tc>
        <w:tc>
          <w:tcPr>
            <w:tcW w:w="1305" w:type="dxa"/>
            <w:tcBorders>
              <w:top w:val="single" w:sz="4" w:space="0" w:color="auto"/>
              <w:left w:val="nil"/>
              <w:bottom w:val="nil"/>
              <w:right w:val="nil"/>
            </w:tcBorders>
            <w:shd w:val="clear" w:color="000000" w:fill="FBA376"/>
            <w:noWrap/>
            <w:vAlign w:val="bottom"/>
            <w:hideMark/>
          </w:tcPr>
          <w:p w14:paraId="14A8948E" w14:textId="77777777" w:rsidR="006556FC" w:rsidRPr="0031411A" w:rsidRDefault="006556FC" w:rsidP="006556FC">
            <w:pPr>
              <w:spacing w:line="240" w:lineRule="auto"/>
              <w:jc w:val="right"/>
              <w:rPr>
                <w:rFonts w:cs="Arial"/>
                <w:color w:val="000000"/>
                <w:sz w:val="16"/>
                <w:szCs w:val="16"/>
              </w:rPr>
            </w:pPr>
            <w:r w:rsidRPr="0031411A">
              <w:rPr>
                <w:rFonts w:cs="Arial"/>
                <w:color w:val="000000"/>
                <w:sz w:val="16"/>
                <w:szCs w:val="16"/>
              </w:rPr>
              <w:t>0,42</w:t>
            </w:r>
          </w:p>
        </w:tc>
        <w:tc>
          <w:tcPr>
            <w:tcW w:w="1305" w:type="dxa"/>
            <w:tcBorders>
              <w:top w:val="single" w:sz="4" w:space="0" w:color="auto"/>
              <w:left w:val="nil"/>
              <w:bottom w:val="nil"/>
              <w:right w:val="single" w:sz="4" w:space="0" w:color="auto"/>
            </w:tcBorders>
            <w:shd w:val="clear" w:color="000000" w:fill="FCB479"/>
            <w:noWrap/>
            <w:vAlign w:val="bottom"/>
            <w:hideMark/>
          </w:tcPr>
          <w:p w14:paraId="2257BD91" w14:textId="77777777" w:rsidR="006556FC" w:rsidRPr="0031411A" w:rsidRDefault="006556FC" w:rsidP="006556FC">
            <w:pPr>
              <w:spacing w:line="240" w:lineRule="auto"/>
              <w:jc w:val="right"/>
              <w:rPr>
                <w:rFonts w:cs="Arial"/>
                <w:color w:val="000000"/>
                <w:sz w:val="16"/>
                <w:szCs w:val="16"/>
              </w:rPr>
            </w:pPr>
            <w:r w:rsidRPr="0031411A">
              <w:rPr>
                <w:rFonts w:cs="Arial"/>
                <w:color w:val="000000"/>
                <w:sz w:val="16"/>
                <w:szCs w:val="16"/>
              </w:rPr>
              <w:t>0,45</w:t>
            </w:r>
          </w:p>
        </w:tc>
      </w:tr>
      <w:tr w:rsidR="006556FC" w:rsidRPr="0031411A" w14:paraId="79DF4741" w14:textId="77777777" w:rsidTr="006556FC">
        <w:trPr>
          <w:trHeight w:val="29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54381A9F" w14:textId="77777777" w:rsidR="006556FC" w:rsidRPr="0031411A" w:rsidRDefault="006556FC" w:rsidP="006556FC">
            <w:pPr>
              <w:spacing w:line="240" w:lineRule="auto"/>
              <w:jc w:val="right"/>
              <w:rPr>
                <w:rFonts w:cs="Arial"/>
                <w:color w:val="000000"/>
                <w:sz w:val="16"/>
                <w:szCs w:val="16"/>
              </w:rPr>
            </w:pPr>
            <w:r w:rsidRPr="0031411A">
              <w:rPr>
                <w:rFonts w:cs="Arial"/>
                <w:color w:val="000000"/>
                <w:sz w:val="16"/>
                <w:szCs w:val="16"/>
              </w:rPr>
              <w:t>10000 m</w:t>
            </w:r>
            <w:r w:rsidRPr="0031411A">
              <w:rPr>
                <w:rFonts w:cs="Arial"/>
                <w:color w:val="000000"/>
                <w:sz w:val="16"/>
                <w:szCs w:val="16"/>
                <w:vertAlign w:val="superscript"/>
              </w:rPr>
              <w:t>3</w:t>
            </w:r>
            <w:r w:rsidRPr="0031411A">
              <w:rPr>
                <w:rFonts w:cs="Arial"/>
                <w:color w:val="000000"/>
                <w:sz w:val="16"/>
                <w:szCs w:val="16"/>
              </w:rPr>
              <w:t xml:space="preserve"> /h</w:t>
            </w:r>
          </w:p>
        </w:tc>
        <w:tc>
          <w:tcPr>
            <w:tcW w:w="1305" w:type="dxa"/>
            <w:tcBorders>
              <w:top w:val="nil"/>
              <w:left w:val="single" w:sz="4" w:space="0" w:color="auto"/>
              <w:bottom w:val="nil"/>
              <w:right w:val="nil"/>
            </w:tcBorders>
            <w:shd w:val="clear" w:color="000000" w:fill="F98370"/>
            <w:noWrap/>
            <w:vAlign w:val="bottom"/>
            <w:hideMark/>
          </w:tcPr>
          <w:p w14:paraId="076232DC" w14:textId="77777777" w:rsidR="006556FC" w:rsidRPr="0031411A" w:rsidRDefault="006556FC" w:rsidP="006556FC">
            <w:pPr>
              <w:spacing w:line="240" w:lineRule="auto"/>
              <w:jc w:val="right"/>
              <w:rPr>
                <w:rFonts w:cs="Arial"/>
                <w:color w:val="000000"/>
                <w:sz w:val="16"/>
                <w:szCs w:val="16"/>
              </w:rPr>
            </w:pPr>
            <w:r w:rsidRPr="0031411A">
              <w:rPr>
                <w:rFonts w:cs="Arial"/>
                <w:color w:val="000000"/>
                <w:sz w:val="16"/>
                <w:szCs w:val="16"/>
              </w:rPr>
              <w:t>0,35</w:t>
            </w:r>
          </w:p>
        </w:tc>
        <w:tc>
          <w:tcPr>
            <w:tcW w:w="1305" w:type="dxa"/>
            <w:tcBorders>
              <w:top w:val="nil"/>
              <w:left w:val="nil"/>
              <w:bottom w:val="nil"/>
              <w:right w:val="nil"/>
            </w:tcBorders>
            <w:shd w:val="clear" w:color="000000" w:fill="C2DA81"/>
            <w:noWrap/>
            <w:vAlign w:val="bottom"/>
            <w:hideMark/>
          </w:tcPr>
          <w:p w14:paraId="5D45E761" w14:textId="77777777" w:rsidR="006556FC" w:rsidRPr="0031411A" w:rsidRDefault="006556FC" w:rsidP="006556FC">
            <w:pPr>
              <w:spacing w:line="240" w:lineRule="auto"/>
              <w:jc w:val="right"/>
              <w:rPr>
                <w:rFonts w:cs="Arial"/>
                <w:color w:val="000000"/>
                <w:sz w:val="16"/>
                <w:szCs w:val="16"/>
              </w:rPr>
            </w:pPr>
            <w:r w:rsidRPr="0031411A">
              <w:rPr>
                <w:rFonts w:cs="Arial"/>
                <w:color w:val="000000"/>
                <w:sz w:val="16"/>
                <w:szCs w:val="16"/>
              </w:rPr>
              <w:t>0,68</w:t>
            </w:r>
          </w:p>
        </w:tc>
        <w:tc>
          <w:tcPr>
            <w:tcW w:w="1305" w:type="dxa"/>
            <w:tcBorders>
              <w:top w:val="nil"/>
              <w:left w:val="nil"/>
              <w:bottom w:val="nil"/>
              <w:right w:val="nil"/>
            </w:tcBorders>
            <w:shd w:val="clear" w:color="000000" w:fill="FDC97D"/>
            <w:noWrap/>
            <w:vAlign w:val="bottom"/>
            <w:hideMark/>
          </w:tcPr>
          <w:p w14:paraId="5DCA5CB0" w14:textId="77777777" w:rsidR="006556FC" w:rsidRPr="0031411A" w:rsidRDefault="006556FC" w:rsidP="006556FC">
            <w:pPr>
              <w:spacing w:line="240" w:lineRule="auto"/>
              <w:jc w:val="right"/>
              <w:rPr>
                <w:rFonts w:cs="Arial"/>
                <w:color w:val="000000"/>
                <w:sz w:val="16"/>
                <w:szCs w:val="16"/>
              </w:rPr>
            </w:pPr>
            <w:r w:rsidRPr="0031411A">
              <w:rPr>
                <w:rFonts w:cs="Arial"/>
                <w:color w:val="000000"/>
                <w:sz w:val="16"/>
                <w:szCs w:val="16"/>
              </w:rPr>
              <w:t>0,50</w:t>
            </w:r>
          </w:p>
        </w:tc>
        <w:tc>
          <w:tcPr>
            <w:tcW w:w="1305" w:type="dxa"/>
            <w:tcBorders>
              <w:top w:val="nil"/>
              <w:left w:val="nil"/>
              <w:bottom w:val="nil"/>
              <w:right w:val="single" w:sz="4" w:space="0" w:color="auto"/>
            </w:tcBorders>
            <w:shd w:val="clear" w:color="000000" w:fill="FEDA80"/>
            <w:noWrap/>
            <w:vAlign w:val="bottom"/>
            <w:hideMark/>
          </w:tcPr>
          <w:p w14:paraId="3752ADB8" w14:textId="77777777" w:rsidR="006556FC" w:rsidRPr="0031411A" w:rsidRDefault="006556FC" w:rsidP="006556FC">
            <w:pPr>
              <w:spacing w:line="240" w:lineRule="auto"/>
              <w:jc w:val="right"/>
              <w:rPr>
                <w:rFonts w:cs="Arial"/>
                <w:color w:val="000000"/>
                <w:sz w:val="16"/>
                <w:szCs w:val="16"/>
              </w:rPr>
            </w:pPr>
            <w:r w:rsidRPr="0031411A">
              <w:rPr>
                <w:rFonts w:cs="Arial"/>
                <w:color w:val="000000"/>
                <w:sz w:val="16"/>
                <w:szCs w:val="16"/>
              </w:rPr>
              <w:t>0,53</w:t>
            </w:r>
          </w:p>
        </w:tc>
      </w:tr>
      <w:tr w:rsidR="006556FC" w:rsidRPr="0031411A" w14:paraId="427EA0F3" w14:textId="77777777" w:rsidTr="006556FC">
        <w:trPr>
          <w:trHeight w:val="29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05BD7989" w14:textId="77777777" w:rsidR="006556FC" w:rsidRPr="0031411A" w:rsidRDefault="006556FC" w:rsidP="006556FC">
            <w:pPr>
              <w:spacing w:line="240" w:lineRule="auto"/>
              <w:jc w:val="right"/>
              <w:rPr>
                <w:rFonts w:cs="Arial"/>
                <w:color w:val="000000"/>
                <w:sz w:val="16"/>
                <w:szCs w:val="16"/>
              </w:rPr>
            </w:pPr>
            <w:r w:rsidRPr="0031411A">
              <w:rPr>
                <w:rFonts w:cs="Arial"/>
                <w:color w:val="000000"/>
                <w:sz w:val="16"/>
                <w:szCs w:val="16"/>
              </w:rPr>
              <w:t>25000 m</w:t>
            </w:r>
            <w:r w:rsidRPr="0031411A">
              <w:rPr>
                <w:rFonts w:cs="Arial"/>
                <w:color w:val="000000"/>
                <w:sz w:val="16"/>
                <w:szCs w:val="16"/>
                <w:vertAlign w:val="superscript"/>
              </w:rPr>
              <w:t>3</w:t>
            </w:r>
            <w:r w:rsidRPr="0031411A">
              <w:rPr>
                <w:rFonts w:cs="Arial"/>
                <w:color w:val="000000"/>
                <w:sz w:val="16"/>
                <w:szCs w:val="16"/>
              </w:rPr>
              <w:t xml:space="preserve"> /h</w:t>
            </w:r>
          </w:p>
        </w:tc>
        <w:tc>
          <w:tcPr>
            <w:tcW w:w="1305" w:type="dxa"/>
            <w:tcBorders>
              <w:top w:val="nil"/>
              <w:left w:val="single" w:sz="4" w:space="0" w:color="auto"/>
              <w:bottom w:val="nil"/>
              <w:right w:val="nil"/>
            </w:tcBorders>
            <w:shd w:val="clear" w:color="000000" w:fill="FBA877"/>
            <w:noWrap/>
            <w:vAlign w:val="bottom"/>
            <w:hideMark/>
          </w:tcPr>
          <w:p w14:paraId="50EC260E" w14:textId="77777777" w:rsidR="006556FC" w:rsidRPr="0031411A" w:rsidRDefault="006556FC" w:rsidP="006556FC">
            <w:pPr>
              <w:spacing w:line="240" w:lineRule="auto"/>
              <w:jc w:val="right"/>
              <w:rPr>
                <w:rFonts w:cs="Arial"/>
                <w:color w:val="000000"/>
                <w:sz w:val="16"/>
                <w:szCs w:val="16"/>
              </w:rPr>
            </w:pPr>
            <w:r w:rsidRPr="0031411A">
              <w:rPr>
                <w:rFonts w:cs="Arial"/>
                <w:color w:val="000000"/>
                <w:sz w:val="16"/>
                <w:szCs w:val="16"/>
              </w:rPr>
              <w:t>0,43</w:t>
            </w:r>
          </w:p>
        </w:tc>
        <w:tc>
          <w:tcPr>
            <w:tcW w:w="1305" w:type="dxa"/>
            <w:tcBorders>
              <w:top w:val="nil"/>
              <w:left w:val="nil"/>
              <w:bottom w:val="nil"/>
              <w:right w:val="nil"/>
            </w:tcBorders>
            <w:shd w:val="clear" w:color="000000" w:fill="75C47D"/>
            <w:noWrap/>
            <w:vAlign w:val="bottom"/>
            <w:hideMark/>
          </w:tcPr>
          <w:p w14:paraId="0E7CC426" w14:textId="77777777" w:rsidR="006556FC" w:rsidRPr="0031411A" w:rsidRDefault="006556FC" w:rsidP="006556FC">
            <w:pPr>
              <w:spacing w:line="240" w:lineRule="auto"/>
              <w:jc w:val="right"/>
              <w:rPr>
                <w:rFonts w:cs="Arial"/>
                <w:color w:val="000000"/>
                <w:sz w:val="16"/>
                <w:szCs w:val="16"/>
              </w:rPr>
            </w:pPr>
            <w:r w:rsidRPr="0031411A">
              <w:rPr>
                <w:rFonts w:cs="Arial"/>
                <w:color w:val="000000"/>
                <w:sz w:val="16"/>
                <w:szCs w:val="16"/>
              </w:rPr>
              <w:t>0,81</w:t>
            </w:r>
          </w:p>
        </w:tc>
        <w:tc>
          <w:tcPr>
            <w:tcW w:w="1305" w:type="dxa"/>
            <w:tcBorders>
              <w:top w:val="nil"/>
              <w:left w:val="nil"/>
              <w:bottom w:val="nil"/>
              <w:right w:val="nil"/>
            </w:tcBorders>
            <w:shd w:val="clear" w:color="000000" w:fill="DDE182"/>
            <w:noWrap/>
            <w:vAlign w:val="bottom"/>
            <w:hideMark/>
          </w:tcPr>
          <w:p w14:paraId="637DB035" w14:textId="77777777" w:rsidR="006556FC" w:rsidRPr="0031411A" w:rsidRDefault="006556FC" w:rsidP="006556FC">
            <w:pPr>
              <w:spacing w:line="240" w:lineRule="auto"/>
              <w:jc w:val="right"/>
              <w:rPr>
                <w:rFonts w:cs="Arial"/>
                <w:color w:val="000000"/>
                <w:sz w:val="16"/>
                <w:szCs w:val="16"/>
              </w:rPr>
            </w:pPr>
            <w:r w:rsidRPr="0031411A">
              <w:rPr>
                <w:rFonts w:cs="Arial"/>
                <w:color w:val="000000"/>
                <w:sz w:val="16"/>
                <w:szCs w:val="16"/>
              </w:rPr>
              <w:t>0,63</w:t>
            </w:r>
          </w:p>
        </w:tc>
        <w:tc>
          <w:tcPr>
            <w:tcW w:w="1305" w:type="dxa"/>
            <w:tcBorders>
              <w:top w:val="nil"/>
              <w:left w:val="nil"/>
              <w:bottom w:val="nil"/>
              <w:right w:val="single" w:sz="4" w:space="0" w:color="auto"/>
            </w:tcBorders>
            <w:shd w:val="clear" w:color="000000" w:fill="E9E583"/>
            <w:noWrap/>
            <w:vAlign w:val="bottom"/>
            <w:hideMark/>
          </w:tcPr>
          <w:p w14:paraId="67DDC941" w14:textId="77777777" w:rsidR="006556FC" w:rsidRPr="0031411A" w:rsidRDefault="006556FC" w:rsidP="006556FC">
            <w:pPr>
              <w:spacing w:line="240" w:lineRule="auto"/>
              <w:jc w:val="right"/>
              <w:rPr>
                <w:rFonts w:cs="Arial"/>
                <w:color w:val="000000"/>
                <w:sz w:val="16"/>
                <w:szCs w:val="16"/>
              </w:rPr>
            </w:pPr>
            <w:r w:rsidRPr="0031411A">
              <w:rPr>
                <w:rFonts w:cs="Arial"/>
                <w:color w:val="000000"/>
                <w:sz w:val="16"/>
                <w:szCs w:val="16"/>
              </w:rPr>
              <w:t>0,60</w:t>
            </w:r>
          </w:p>
        </w:tc>
      </w:tr>
      <w:tr w:rsidR="006556FC" w:rsidRPr="0031411A" w14:paraId="1A6F98D8" w14:textId="77777777" w:rsidTr="006556FC">
        <w:trPr>
          <w:trHeight w:val="29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0EF1580E" w14:textId="77777777" w:rsidR="006556FC" w:rsidRPr="0031411A" w:rsidRDefault="006556FC" w:rsidP="006556FC">
            <w:pPr>
              <w:spacing w:line="240" w:lineRule="auto"/>
              <w:jc w:val="right"/>
              <w:rPr>
                <w:rFonts w:cs="Arial"/>
                <w:color w:val="000000"/>
                <w:sz w:val="16"/>
                <w:szCs w:val="16"/>
              </w:rPr>
            </w:pPr>
            <w:r w:rsidRPr="0031411A">
              <w:rPr>
                <w:rFonts w:cs="Arial"/>
                <w:color w:val="000000"/>
                <w:sz w:val="16"/>
                <w:szCs w:val="16"/>
              </w:rPr>
              <w:t>63000 m</w:t>
            </w:r>
            <w:r w:rsidRPr="0031411A">
              <w:rPr>
                <w:rFonts w:cs="Arial"/>
                <w:color w:val="000000"/>
                <w:sz w:val="16"/>
                <w:szCs w:val="16"/>
                <w:vertAlign w:val="superscript"/>
              </w:rPr>
              <w:t>3</w:t>
            </w:r>
            <w:r w:rsidRPr="0031411A">
              <w:rPr>
                <w:rFonts w:cs="Arial"/>
                <w:color w:val="000000"/>
                <w:sz w:val="16"/>
                <w:szCs w:val="16"/>
              </w:rPr>
              <w:t xml:space="preserve"> /h</w:t>
            </w:r>
          </w:p>
        </w:tc>
        <w:tc>
          <w:tcPr>
            <w:tcW w:w="1305" w:type="dxa"/>
            <w:tcBorders>
              <w:top w:val="nil"/>
              <w:left w:val="single" w:sz="4" w:space="0" w:color="auto"/>
              <w:bottom w:val="single" w:sz="4" w:space="0" w:color="auto"/>
              <w:right w:val="nil"/>
            </w:tcBorders>
            <w:shd w:val="clear" w:color="000000" w:fill="FCBE7B"/>
            <w:noWrap/>
            <w:vAlign w:val="bottom"/>
            <w:hideMark/>
          </w:tcPr>
          <w:p w14:paraId="5BCBD964" w14:textId="77777777" w:rsidR="006556FC" w:rsidRPr="0031411A" w:rsidRDefault="006556FC" w:rsidP="006556FC">
            <w:pPr>
              <w:spacing w:line="240" w:lineRule="auto"/>
              <w:jc w:val="right"/>
              <w:rPr>
                <w:rFonts w:cs="Arial"/>
                <w:color w:val="000000"/>
                <w:sz w:val="16"/>
                <w:szCs w:val="16"/>
              </w:rPr>
            </w:pPr>
            <w:r w:rsidRPr="0031411A">
              <w:rPr>
                <w:rFonts w:cs="Arial"/>
                <w:color w:val="000000"/>
                <w:sz w:val="16"/>
                <w:szCs w:val="16"/>
              </w:rPr>
              <w:t>0,47</w:t>
            </w:r>
          </w:p>
        </w:tc>
        <w:tc>
          <w:tcPr>
            <w:tcW w:w="1305" w:type="dxa"/>
            <w:tcBorders>
              <w:top w:val="nil"/>
              <w:left w:val="nil"/>
              <w:bottom w:val="single" w:sz="4" w:space="0" w:color="auto"/>
              <w:right w:val="nil"/>
            </w:tcBorders>
            <w:shd w:val="clear" w:color="000000" w:fill="63BE7B"/>
            <w:noWrap/>
            <w:vAlign w:val="bottom"/>
            <w:hideMark/>
          </w:tcPr>
          <w:p w14:paraId="365FB608" w14:textId="77777777" w:rsidR="006556FC" w:rsidRPr="0031411A" w:rsidRDefault="006556FC" w:rsidP="006556FC">
            <w:pPr>
              <w:spacing w:line="240" w:lineRule="auto"/>
              <w:jc w:val="right"/>
              <w:rPr>
                <w:rFonts w:cs="Arial"/>
                <w:color w:val="000000"/>
                <w:sz w:val="16"/>
                <w:szCs w:val="16"/>
              </w:rPr>
            </w:pPr>
            <w:r w:rsidRPr="0031411A">
              <w:rPr>
                <w:rFonts w:cs="Arial"/>
                <w:color w:val="000000"/>
                <w:sz w:val="16"/>
                <w:szCs w:val="16"/>
              </w:rPr>
              <w:t>0,85</w:t>
            </w:r>
          </w:p>
        </w:tc>
        <w:tc>
          <w:tcPr>
            <w:tcW w:w="1305" w:type="dxa"/>
            <w:tcBorders>
              <w:top w:val="nil"/>
              <w:left w:val="nil"/>
              <w:bottom w:val="single" w:sz="4" w:space="0" w:color="auto"/>
              <w:right w:val="nil"/>
            </w:tcBorders>
            <w:shd w:val="clear" w:color="000000" w:fill="77C47D"/>
            <w:noWrap/>
            <w:vAlign w:val="bottom"/>
            <w:hideMark/>
          </w:tcPr>
          <w:p w14:paraId="10D72F8B" w14:textId="77777777" w:rsidR="006556FC" w:rsidRPr="0031411A" w:rsidRDefault="006556FC" w:rsidP="006556FC">
            <w:pPr>
              <w:spacing w:line="240" w:lineRule="auto"/>
              <w:jc w:val="right"/>
              <w:rPr>
                <w:rFonts w:cs="Arial"/>
                <w:color w:val="000000"/>
                <w:sz w:val="16"/>
                <w:szCs w:val="16"/>
              </w:rPr>
            </w:pPr>
            <w:r w:rsidRPr="0031411A">
              <w:rPr>
                <w:rFonts w:cs="Arial"/>
                <w:color w:val="000000"/>
                <w:sz w:val="16"/>
                <w:szCs w:val="16"/>
              </w:rPr>
              <w:t>0,81</w:t>
            </w:r>
          </w:p>
        </w:tc>
        <w:tc>
          <w:tcPr>
            <w:tcW w:w="1305" w:type="dxa"/>
            <w:tcBorders>
              <w:top w:val="nil"/>
              <w:left w:val="nil"/>
              <w:bottom w:val="single" w:sz="4" w:space="0" w:color="auto"/>
              <w:right w:val="single" w:sz="4" w:space="0" w:color="auto"/>
            </w:tcBorders>
            <w:shd w:val="clear" w:color="000000" w:fill="DDE182"/>
            <w:noWrap/>
            <w:vAlign w:val="bottom"/>
            <w:hideMark/>
          </w:tcPr>
          <w:p w14:paraId="2A47AAC9" w14:textId="77777777" w:rsidR="006556FC" w:rsidRPr="0031411A" w:rsidRDefault="006556FC" w:rsidP="006556FC">
            <w:pPr>
              <w:spacing w:line="240" w:lineRule="auto"/>
              <w:jc w:val="right"/>
              <w:rPr>
                <w:rFonts w:cs="Arial"/>
                <w:color w:val="000000"/>
                <w:sz w:val="16"/>
                <w:szCs w:val="16"/>
              </w:rPr>
            </w:pPr>
            <w:r w:rsidRPr="0031411A">
              <w:rPr>
                <w:rFonts w:cs="Arial"/>
                <w:color w:val="000000"/>
                <w:sz w:val="16"/>
                <w:szCs w:val="16"/>
              </w:rPr>
              <w:t>0,63</w:t>
            </w:r>
          </w:p>
        </w:tc>
      </w:tr>
    </w:tbl>
    <w:p w14:paraId="4647564F" w14:textId="77777777" w:rsidR="00317D3B" w:rsidRPr="0031411A" w:rsidRDefault="00317D3B" w:rsidP="008A7A34"/>
    <w:p w14:paraId="39C6E53F" w14:textId="77777777" w:rsidR="00317D3B" w:rsidRPr="0031411A" w:rsidRDefault="00242E59" w:rsidP="008A7A34">
      <w:r w:rsidRPr="0031411A">
        <w:t xml:space="preserve">Ook hier blijkt een kast met een hoge capaciteit </w:t>
      </w:r>
      <w:r w:rsidR="006556FC" w:rsidRPr="0031411A">
        <w:t>een betere verhouding te hebben van milieubelasting bij de productie en het gebruik en milieuwinst ten gevolge van recycling van de materialen</w:t>
      </w:r>
      <w:r w:rsidRPr="0031411A">
        <w:t>.</w:t>
      </w:r>
      <w:r w:rsidR="003B3D4B" w:rsidRPr="0031411A">
        <w:t xml:space="preserve"> De LBK met warmtewiel gaat van 0,42 (oranje) naar 0,81 (groen). De systemen met een warmteterugwinningssysteem scoren op de verhouding gelijk of beter dat een systeem zonder. Hieruit blijkt dat het extra materiaalgebruik voor de warmteterugwinning in hoge mate gerecycled wordt aan het einde van de levensduur.</w:t>
      </w:r>
    </w:p>
    <w:p w14:paraId="1E5585D8" w14:textId="77777777" w:rsidR="00242E59" w:rsidRPr="0031411A" w:rsidRDefault="00242E59" w:rsidP="008A7A34"/>
    <w:p w14:paraId="51FC6EC8" w14:textId="77777777" w:rsidR="00D90D2C" w:rsidRPr="0031411A" w:rsidRDefault="00D90D2C" w:rsidP="008A7A34"/>
    <w:p w14:paraId="5C32DB27" w14:textId="77777777" w:rsidR="00D90D2C" w:rsidRDefault="00D90D2C" w:rsidP="008A7A34">
      <w:r w:rsidRPr="0031411A">
        <w:t>Auteur; Ing. J.B. Levels-Vermeer, directeur Stichting Adviescentrum Metaal / vennoot LBP|SIGHT</w:t>
      </w:r>
    </w:p>
    <w:sectPr w:rsidR="00D90D2C" w:rsidSect="00E6449F">
      <w:footerReference w:type="even" r:id="rId11"/>
      <w:headerReference w:type="first" r:id="rId12"/>
      <w:pgSz w:w="11906" w:h="16838" w:code="9"/>
      <w:pgMar w:top="1985" w:right="1134" w:bottom="1418" w:left="1701" w:header="0" w:footer="567" w:gutter="0"/>
      <w:paperSrc w:first="7" w:other="7"/>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44CF9" w14:textId="77777777" w:rsidR="006C36E0" w:rsidRDefault="006C36E0">
      <w:r>
        <w:separator/>
      </w:r>
    </w:p>
  </w:endnote>
  <w:endnote w:type="continuationSeparator" w:id="0">
    <w:p w14:paraId="1553A3DC" w14:textId="77777777" w:rsidR="006C36E0" w:rsidRDefault="006C3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Univers">
    <w:altName w:val="Arial"/>
    <w:charset w:val="00"/>
    <w:family w:val="swiss"/>
    <w:pitch w:val="variable"/>
    <w:sig w:usb0="00000007" w:usb1="00000000" w:usb2="00000000" w:usb3="00000000" w:csb0="00000093" w:csb1="00000000"/>
  </w:font>
  <w:font w:name="Letter Gothic MT">
    <w:altName w:val="Monospac821 BT"/>
    <w:charset w:val="00"/>
    <w:family w:val="modern"/>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40BEE" w14:textId="77777777" w:rsidR="006556FC" w:rsidRDefault="006556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1A8F4A" w14:textId="77777777" w:rsidR="006556FC" w:rsidRDefault="006556F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AE73A1" w14:textId="77777777" w:rsidR="006C36E0" w:rsidRDefault="006C36E0">
      <w:r>
        <w:separator/>
      </w:r>
    </w:p>
  </w:footnote>
  <w:footnote w:type="continuationSeparator" w:id="0">
    <w:p w14:paraId="7734E3C4" w14:textId="77777777" w:rsidR="006C36E0" w:rsidRDefault="006C36E0">
      <w:r>
        <w:continuationSeparator/>
      </w:r>
    </w:p>
  </w:footnote>
  <w:footnote w:id="1">
    <w:p w14:paraId="70146359" w14:textId="77777777" w:rsidR="006556FC" w:rsidRPr="00EA1B89" w:rsidRDefault="006556FC" w:rsidP="00EA1B89">
      <w:r>
        <w:rPr>
          <w:rStyle w:val="FootnoteReference"/>
        </w:rPr>
        <w:footnoteRef/>
      </w:r>
      <w:r>
        <w:t xml:space="preserve"> AL-KO Luchttechniek B.V.; DencoHappel Nederland B.V.; Monair B</w:t>
      </w:r>
      <w:r w:rsidRPr="00EA1B89">
        <w:t xml:space="preserve">.V.                                </w:t>
      </w:r>
    </w:p>
    <w:p w14:paraId="5934334F" w14:textId="77777777" w:rsidR="006556FC" w:rsidRDefault="006556FC" w:rsidP="00EA1B89">
      <w:r w:rsidRPr="00EA1B89">
        <w:t xml:space="preserve">Ned Air B.V.; Rosenberg Ventilatoren B.V.; </w:t>
      </w:r>
      <w:r>
        <w:t>Systemair B.V</w:t>
      </w:r>
      <w:r w:rsidRPr="0081734B">
        <w:t xml:space="preserve">.; </w:t>
      </w:r>
      <w:r w:rsidR="009D32D4" w:rsidRPr="0081734B">
        <w:t xml:space="preserve">TROX Nederland B.V., </w:t>
      </w:r>
      <w:r w:rsidRPr="0081734B">
        <w:t>Verhulst</w:t>
      </w:r>
      <w:r>
        <w:t xml:space="preserve"> Klimaattechniek B.V.  </w:t>
      </w:r>
    </w:p>
    <w:p w14:paraId="42A13FC8" w14:textId="77777777" w:rsidR="006556FC" w:rsidRDefault="006556FC" w:rsidP="00EA1B89">
      <w:pPr>
        <w:pStyle w:val="FootnoteText"/>
        <w:numPr>
          <w:ilvl w:val="0"/>
          <w:numId w:val="0"/>
        </w:numPr>
        <w:ind w:left="357" w:hanging="357"/>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AABD6" w14:textId="77777777" w:rsidR="006556FC" w:rsidRDefault="006556FC">
    <w:pPr>
      <w:pStyle w:val="Header"/>
    </w:pPr>
  </w:p>
  <w:p w14:paraId="7C6F148B" w14:textId="77777777" w:rsidR="006556FC" w:rsidRDefault="006556F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862615"/>
    <w:multiLevelType w:val="multilevel"/>
    <w:tmpl w:val="47D4F798"/>
    <w:lvl w:ilvl="0">
      <w:start w:val="1"/>
      <w:numFmt w:val="decimal"/>
      <w:pStyle w:val="Heading1"/>
      <w:suff w:val="space"/>
      <w:lvlText w:val="%1"/>
      <w:lvlJc w:val="left"/>
      <w:pPr>
        <w:ind w:left="432" w:hanging="432"/>
      </w:pPr>
    </w:lvl>
    <w:lvl w:ilvl="1">
      <w:start w:val="1"/>
      <w:numFmt w:val="decimal"/>
      <w:suff w:val="space"/>
      <w:lvlText w:val="%1.%2"/>
      <w:lvlJc w:val="left"/>
      <w:pPr>
        <w:ind w:left="284" w:hanging="284"/>
      </w:pPr>
    </w:lvl>
    <w:lvl w:ilvl="2">
      <w:start w:val="1"/>
      <w:numFmt w:val="decimal"/>
      <w:pStyle w:val="Heading3"/>
      <w:suff w:val="space"/>
      <w:lvlText w:val="%1.%2.%3"/>
      <w:lvlJc w:val="left"/>
      <w:pPr>
        <w:ind w:left="720" w:hanging="720"/>
      </w:pPr>
    </w:lvl>
    <w:lvl w:ilvl="3">
      <w:start w:val="1"/>
      <w:numFmt w:val="decimal"/>
      <w:lvlText w:val="%1.%2.%3.%4"/>
      <w:lvlJc w:val="left"/>
      <w:pPr>
        <w:tabs>
          <w:tab w:val="num" w:pos="864"/>
        </w:tabs>
        <w:ind w:left="864" w:hanging="864"/>
      </w:pPr>
    </w:lvl>
    <w:lvl w:ilvl="4">
      <w:start w:val="1"/>
      <w:numFmt w:val="decimal"/>
      <w:suff w:val="space"/>
      <w:lvlText w:val="%1.%2.%3.%4.%5"/>
      <w:lvlJc w:val="left"/>
      <w:pPr>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lvlRestart w:val="0"/>
      <w:pStyle w:val="Heading9"/>
      <w:lvlText w:val="%1.%2.%3.%4.%5.%6.%7.%8.%9"/>
      <w:lvlJc w:val="left"/>
      <w:pPr>
        <w:tabs>
          <w:tab w:val="num" w:pos="2160"/>
        </w:tabs>
        <w:ind w:left="1584" w:hanging="1584"/>
      </w:pPr>
    </w:lvl>
  </w:abstractNum>
  <w:abstractNum w:abstractNumId="1">
    <w:nsid w:val="2CF16037"/>
    <w:multiLevelType w:val="multilevel"/>
    <w:tmpl w:val="3020BEC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rFonts w:ascii="Arial" w:hAnsi="Arial" w:hint="default"/>
        <w:b/>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318045AE"/>
    <w:multiLevelType w:val="hybridMultilevel"/>
    <w:tmpl w:val="CA2238E2"/>
    <w:lvl w:ilvl="0" w:tplc="401CE6A8">
      <w:start w:val="1"/>
      <w:numFmt w:val="decimal"/>
      <w:pStyle w:val="FootnoteText"/>
      <w:lvlText w:val="%1"/>
      <w:lvlJc w:val="left"/>
      <w:pPr>
        <w:tabs>
          <w:tab w:val="num" w:pos="357"/>
        </w:tabs>
        <w:ind w:left="357" w:hanging="35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63D6590A"/>
    <w:multiLevelType w:val="multilevel"/>
    <w:tmpl w:val="BAA28C0C"/>
    <w:lvl w:ilvl="0">
      <w:start w:val="1"/>
      <w:numFmt w:val="decimal"/>
      <w:lvlText w:val="%1"/>
      <w:lvlJc w:val="left"/>
      <w:pPr>
        <w:tabs>
          <w:tab w:val="num" w:pos="-2126"/>
        </w:tabs>
        <w:ind w:left="-2126" w:hanging="709"/>
      </w:pPr>
      <w:rPr>
        <w:rFonts w:hint="default"/>
      </w:rPr>
    </w:lvl>
    <w:lvl w:ilvl="1">
      <w:start w:val="1"/>
      <w:numFmt w:val="decimal"/>
      <w:lvlText w:val="%1.%2"/>
      <w:lvlJc w:val="left"/>
      <w:pPr>
        <w:tabs>
          <w:tab w:val="num" w:pos="-2126"/>
        </w:tabs>
        <w:ind w:left="-2126" w:hanging="709"/>
      </w:pPr>
      <w:rPr>
        <w:rFonts w:hint="default"/>
      </w:rPr>
    </w:lvl>
    <w:lvl w:ilvl="2">
      <w:start w:val="1"/>
      <w:numFmt w:val="decimal"/>
      <w:lvlText w:val="%1.%2.%3"/>
      <w:lvlJc w:val="left"/>
      <w:pPr>
        <w:tabs>
          <w:tab w:val="num" w:pos="-2126"/>
        </w:tabs>
        <w:ind w:left="-2126" w:hanging="709"/>
      </w:pPr>
      <w:rPr>
        <w:rFonts w:hint="default"/>
      </w:rPr>
    </w:lvl>
    <w:lvl w:ilvl="3">
      <w:start w:val="1"/>
      <w:numFmt w:val="decimal"/>
      <w:lvlText w:val="%1.%2.%3.%4"/>
      <w:lvlJc w:val="left"/>
      <w:pPr>
        <w:tabs>
          <w:tab w:val="num" w:pos="-2126"/>
        </w:tabs>
        <w:ind w:left="-2126" w:hanging="709"/>
      </w:pPr>
      <w:rPr>
        <w:rFonts w:hint="default"/>
      </w:rPr>
    </w:lvl>
    <w:lvl w:ilvl="4">
      <w:start w:val="1"/>
      <w:numFmt w:val="upperRoman"/>
      <w:pStyle w:val="Heading5"/>
      <w:lvlText w:val="Bijlage %5"/>
      <w:lvlJc w:val="left"/>
      <w:pPr>
        <w:tabs>
          <w:tab w:val="num" w:pos="8789"/>
        </w:tabs>
        <w:ind w:left="0" w:firstLine="0"/>
      </w:pPr>
      <w:rPr>
        <w:rFonts w:hint="default"/>
      </w:rPr>
    </w:lvl>
    <w:lvl w:ilvl="5">
      <w:start w:val="1"/>
      <w:numFmt w:val="decimal"/>
      <w:lvlText w:val="%1.%2.%3.%4.%5.%6"/>
      <w:lvlJc w:val="left"/>
      <w:pPr>
        <w:tabs>
          <w:tab w:val="num" w:pos="-1683"/>
        </w:tabs>
        <w:ind w:left="-1683" w:hanging="1152"/>
      </w:pPr>
      <w:rPr>
        <w:rFonts w:hint="default"/>
      </w:rPr>
    </w:lvl>
    <w:lvl w:ilvl="6">
      <w:start w:val="1"/>
      <w:numFmt w:val="decimal"/>
      <w:lvlText w:val="%1.%2.%3.%4.%5.%6.%7"/>
      <w:lvlJc w:val="left"/>
      <w:pPr>
        <w:tabs>
          <w:tab w:val="num" w:pos="-1539"/>
        </w:tabs>
        <w:ind w:left="-1539" w:hanging="1296"/>
      </w:pPr>
      <w:rPr>
        <w:rFonts w:hint="default"/>
      </w:rPr>
    </w:lvl>
    <w:lvl w:ilvl="7">
      <w:start w:val="1"/>
      <w:numFmt w:val="decimal"/>
      <w:lvlText w:val="%1.%2.%3.%4.%5.%6.%7.%8"/>
      <w:lvlJc w:val="left"/>
      <w:pPr>
        <w:tabs>
          <w:tab w:val="num" w:pos="-1395"/>
        </w:tabs>
        <w:ind w:left="-1395" w:hanging="1440"/>
      </w:pPr>
      <w:rPr>
        <w:rFonts w:hint="default"/>
      </w:rPr>
    </w:lvl>
    <w:lvl w:ilvl="8">
      <w:start w:val="1"/>
      <w:numFmt w:val="decimal"/>
      <w:lvlRestart w:val="0"/>
      <w:lvlText w:val="%1.%2.%3.%4.%5.%6.%7.%8.%9"/>
      <w:lvlJc w:val="left"/>
      <w:pPr>
        <w:tabs>
          <w:tab w:val="num" w:pos="-675"/>
        </w:tabs>
        <w:ind w:left="-1251" w:hanging="1584"/>
      </w:pPr>
      <w:rPr>
        <w:rFonts w:hint="default"/>
      </w:rPr>
    </w:lvl>
  </w:abstractNum>
  <w:abstractNum w:abstractNumId="4">
    <w:nsid w:val="6FDF0020"/>
    <w:multiLevelType w:val="multilevel"/>
    <w:tmpl w:val="810E8ABE"/>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upperRoman"/>
      <w:lvlText w:val="Bijlage %5"/>
      <w:lvlJc w:val="left"/>
      <w:pPr>
        <w:tabs>
          <w:tab w:val="num" w:pos="1701"/>
        </w:tabs>
        <w:ind w:left="1701" w:hanging="1701"/>
      </w:pPr>
      <w:rPr>
        <w:rFonts w:hint="default"/>
      </w:rPr>
    </w:lvl>
    <w:lvl w:ilvl="5">
      <w:start w:val="1"/>
      <w:numFmt w:val="decimal"/>
      <w:lvlText w:val="%5.%6"/>
      <w:lvlJc w:val="left"/>
      <w:pPr>
        <w:tabs>
          <w:tab w:val="num" w:pos="709"/>
        </w:tabs>
        <w:ind w:left="709" w:hanging="709"/>
      </w:pPr>
      <w:rPr>
        <w:rFonts w:hint="default"/>
      </w:rPr>
    </w:lvl>
    <w:lvl w:ilvl="6">
      <w:start w:val="1"/>
      <w:numFmt w:val="decimal"/>
      <w:lvlRestart w:val="5"/>
      <w:lvlText w:val="%5.%6.%7"/>
      <w:lvlJc w:val="left"/>
      <w:pPr>
        <w:tabs>
          <w:tab w:val="num" w:pos="709"/>
        </w:tabs>
        <w:ind w:left="709" w:hanging="709"/>
      </w:pPr>
      <w:rPr>
        <w:rFonts w:hint="default"/>
      </w:rPr>
    </w:lvl>
    <w:lvl w:ilvl="7">
      <w:start w:val="1"/>
      <w:numFmt w:val="decimal"/>
      <w:lvlText w:val="%5.%6.%7.%8"/>
      <w:lvlJc w:val="left"/>
      <w:pPr>
        <w:tabs>
          <w:tab w:val="num" w:pos="709"/>
        </w:tabs>
        <w:ind w:left="709" w:hanging="709"/>
      </w:pPr>
      <w:rPr>
        <w:rFonts w:hint="default"/>
      </w:rPr>
    </w:lvl>
    <w:lvl w:ilvl="8">
      <w:start w:val="1"/>
      <w:numFmt w:val="decimal"/>
      <w:lvlRestart w:val="0"/>
      <w:lvlText w:val="%1.%2.%3.%4.%5.%6.%7.%8.%9"/>
      <w:lvlJc w:val="left"/>
      <w:pPr>
        <w:tabs>
          <w:tab w:val="num" w:pos="2160"/>
        </w:tabs>
        <w:ind w:left="1584" w:hanging="1584"/>
      </w:pPr>
      <w:rPr>
        <w:rFonts w:hint="default"/>
      </w:rPr>
    </w:lvl>
  </w:abstractNum>
  <w:num w:numId="1">
    <w:abstractNumId w:val="1"/>
  </w:num>
  <w:num w:numId="2">
    <w:abstractNumId w:val="3"/>
  </w:num>
  <w:num w:numId="3">
    <w:abstractNumId w:val="4"/>
  </w:num>
  <w:num w:numId="4">
    <w:abstractNumId w:val="3"/>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3"/>
  </w:num>
  <w:num w:numId="13">
    <w:abstractNumId w:val="2"/>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0"/>
  </w:num>
  <w:num w:numId="2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49F"/>
    <w:rsid w:val="00002D02"/>
    <w:rsid w:val="00012D70"/>
    <w:rsid w:val="000316C9"/>
    <w:rsid w:val="0004622E"/>
    <w:rsid w:val="00054B8A"/>
    <w:rsid w:val="00055DBC"/>
    <w:rsid w:val="00060157"/>
    <w:rsid w:val="000A7580"/>
    <w:rsid w:val="000C009B"/>
    <w:rsid w:val="000C06BA"/>
    <w:rsid w:val="000C1645"/>
    <w:rsid w:val="000C1B6D"/>
    <w:rsid w:val="000E1CAF"/>
    <w:rsid w:val="000E4EAE"/>
    <w:rsid w:val="00103FFE"/>
    <w:rsid w:val="0011517E"/>
    <w:rsid w:val="0012697A"/>
    <w:rsid w:val="00137613"/>
    <w:rsid w:val="001504AB"/>
    <w:rsid w:val="00171D72"/>
    <w:rsid w:val="001A1311"/>
    <w:rsid w:val="001A1F13"/>
    <w:rsid w:val="001B35E1"/>
    <w:rsid w:val="001C1BD7"/>
    <w:rsid w:val="001C42C0"/>
    <w:rsid w:val="001D027D"/>
    <w:rsid w:val="001D0922"/>
    <w:rsid w:val="001D3E2F"/>
    <w:rsid w:val="001E4F97"/>
    <w:rsid w:val="001F35A6"/>
    <w:rsid w:val="00242E59"/>
    <w:rsid w:val="00250C7E"/>
    <w:rsid w:val="00276831"/>
    <w:rsid w:val="00283049"/>
    <w:rsid w:val="00283D4C"/>
    <w:rsid w:val="00283E45"/>
    <w:rsid w:val="00294AF0"/>
    <w:rsid w:val="002B104D"/>
    <w:rsid w:val="002E4067"/>
    <w:rsid w:val="003031FB"/>
    <w:rsid w:val="0030494D"/>
    <w:rsid w:val="00313598"/>
    <w:rsid w:val="0031411A"/>
    <w:rsid w:val="00317D3B"/>
    <w:rsid w:val="00320FF6"/>
    <w:rsid w:val="00327726"/>
    <w:rsid w:val="0035009F"/>
    <w:rsid w:val="00352637"/>
    <w:rsid w:val="0036427A"/>
    <w:rsid w:val="00392AB2"/>
    <w:rsid w:val="00392B27"/>
    <w:rsid w:val="003B33BB"/>
    <w:rsid w:val="003B3D4B"/>
    <w:rsid w:val="003F7544"/>
    <w:rsid w:val="0040000B"/>
    <w:rsid w:val="00402D93"/>
    <w:rsid w:val="00425DA4"/>
    <w:rsid w:val="004717A8"/>
    <w:rsid w:val="00481110"/>
    <w:rsid w:val="004824E3"/>
    <w:rsid w:val="004854F9"/>
    <w:rsid w:val="00487E81"/>
    <w:rsid w:val="0049326B"/>
    <w:rsid w:val="004A0DD7"/>
    <w:rsid w:val="004B2944"/>
    <w:rsid w:val="004C3201"/>
    <w:rsid w:val="004C6723"/>
    <w:rsid w:val="004D19CD"/>
    <w:rsid w:val="004F00E2"/>
    <w:rsid w:val="004F2CBB"/>
    <w:rsid w:val="0051797D"/>
    <w:rsid w:val="0054570E"/>
    <w:rsid w:val="00570210"/>
    <w:rsid w:val="00576492"/>
    <w:rsid w:val="005904A4"/>
    <w:rsid w:val="005C3923"/>
    <w:rsid w:val="005F4430"/>
    <w:rsid w:val="00607EAD"/>
    <w:rsid w:val="0061488C"/>
    <w:rsid w:val="00615E0B"/>
    <w:rsid w:val="006207A4"/>
    <w:rsid w:val="006321E7"/>
    <w:rsid w:val="0064299A"/>
    <w:rsid w:val="00644A58"/>
    <w:rsid w:val="006556FC"/>
    <w:rsid w:val="006563F2"/>
    <w:rsid w:val="00663C07"/>
    <w:rsid w:val="006805C1"/>
    <w:rsid w:val="00691ADD"/>
    <w:rsid w:val="00693089"/>
    <w:rsid w:val="00695D1A"/>
    <w:rsid w:val="006B544F"/>
    <w:rsid w:val="006C36E0"/>
    <w:rsid w:val="00700BFC"/>
    <w:rsid w:val="00703282"/>
    <w:rsid w:val="007121AB"/>
    <w:rsid w:val="007410B9"/>
    <w:rsid w:val="00766339"/>
    <w:rsid w:val="007B3FCB"/>
    <w:rsid w:val="007B5510"/>
    <w:rsid w:val="007C218B"/>
    <w:rsid w:val="007D01D1"/>
    <w:rsid w:val="007E190B"/>
    <w:rsid w:val="007E1B57"/>
    <w:rsid w:val="007F39C6"/>
    <w:rsid w:val="00800874"/>
    <w:rsid w:val="00804499"/>
    <w:rsid w:val="00807AB9"/>
    <w:rsid w:val="0081734B"/>
    <w:rsid w:val="00822AB3"/>
    <w:rsid w:val="008345F3"/>
    <w:rsid w:val="00853BC5"/>
    <w:rsid w:val="00860AEE"/>
    <w:rsid w:val="00862019"/>
    <w:rsid w:val="008A0C25"/>
    <w:rsid w:val="008A7A34"/>
    <w:rsid w:val="008C23E9"/>
    <w:rsid w:val="008D2792"/>
    <w:rsid w:val="00901FF9"/>
    <w:rsid w:val="009405D7"/>
    <w:rsid w:val="009429E3"/>
    <w:rsid w:val="009616DD"/>
    <w:rsid w:val="00976034"/>
    <w:rsid w:val="009A6C29"/>
    <w:rsid w:val="009C7D8A"/>
    <w:rsid w:val="009D0094"/>
    <w:rsid w:val="009D08AF"/>
    <w:rsid w:val="009D2EE2"/>
    <w:rsid w:val="009D32D4"/>
    <w:rsid w:val="009F424C"/>
    <w:rsid w:val="009F53CA"/>
    <w:rsid w:val="00A06B99"/>
    <w:rsid w:val="00A262A6"/>
    <w:rsid w:val="00A32771"/>
    <w:rsid w:val="00A62E4A"/>
    <w:rsid w:val="00A73EE1"/>
    <w:rsid w:val="00A830A3"/>
    <w:rsid w:val="00AD4C4D"/>
    <w:rsid w:val="00AE5614"/>
    <w:rsid w:val="00AF1D43"/>
    <w:rsid w:val="00B13702"/>
    <w:rsid w:val="00B1427C"/>
    <w:rsid w:val="00B15C29"/>
    <w:rsid w:val="00B40C71"/>
    <w:rsid w:val="00B4715C"/>
    <w:rsid w:val="00B54D45"/>
    <w:rsid w:val="00B565D0"/>
    <w:rsid w:val="00B60CF4"/>
    <w:rsid w:val="00B62805"/>
    <w:rsid w:val="00B818A6"/>
    <w:rsid w:val="00B827BF"/>
    <w:rsid w:val="00B97E7D"/>
    <w:rsid w:val="00BA463A"/>
    <w:rsid w:val="00BA6488"/>
    <w:rsid w:val="00BB1891"/>
    <w:rsid w:val="00BF6384"/>
    <w:rsid w:val="00BF76CB"/>
    <w:rsid w:val="00C012A6"/>
    <w:rsid w:val="00C161BD"/>
    <w:rsid w:val="00C32D16"/>
    <w:rsid w:val="00C36B34"/>
    <w:rsid w:val="00C5069C"/>
    <w:rsid w:val="00C65F40"/>
    <w:rsid w:val="00CA4C72"/>
    <w:rsid w:val="00CA6C65"/>
    <w:rsid w:val="00CC601E"/>
    <w:rsid w:val="00D01952"/>
    <w:rsid w:val="00D023D5"/>
    <w:rsid w:val="00D06E1A"/>
    <w:rsid w:val="00D07938"/>
    <w:rsid w:val="00D55006"/>
    <w:rsid w:val="00D56CA7"/>
    <w:rsid w:val="00D570CE"/>
    <w:rsid w:val="00D6259F"/>
    <w:rsid w:val="00D67B16"/>
    <w:rsid w:val="00D762ED"/>
    <w:rsid w:val="00D90D2C"/>
    <w:rsid w:val="00D9185B"/>
    <w:rsid w:val="00D95C96"/>
    <w:rsid w:val="00DB3FE8"/>
    <w:rsid w:val="00DD41F5"/>
    <w:rsid w:val="00DE131E"/>
    <w:rsid w:val="00DE3B1C"/>
    <w:rsid w:val="00E00518"/>
    <w:rsid w:val="00E15112"/>
    <w:rsid w:val="00E42E4C"/>
    <w:rsid w:val="00E46ECC"/>
    <w:rsid w:val="00E6449F"/>
    <w:rsid w:val="00E71E3D"/>
    <w:rsid w:val="00E83859"/>
    <w:rsid w:val="00EA1B89"/>
    <w:rsid w:val="00EA3BE8"/>
    <w:rsid w:val="00EB00A6"/>
    <w:rsid w:val="00ED473F"/>
    <w:rsid w:val="00EE6BE3"/>
    <w:rsid w:val="00EF2CCF"/>
    <w:rsid w:val="00EF4B90"/>
    <w:rsid w:val="00EF75C6"/>
    <w:rsid w:val="00F00972"/>
    <w:rsid w:val="00F217CF"/>
    <w:rsid w:val="00F226C2"/>
    <w:rsid w:val="00F25683"/>
    <w:rsid w:val="00F363FC"/>
    <w:rsid w:val="00F53768"/>
    <w:rsid w:val="00F61A43"/>
    <w:rsid w:val="00F6271E"/>
    <w:rsid w:val="00F85D8E"/>
    <w:rsid w:val="00F87DB4"/>
    <w:rsid w:val="00FA07E2"/>
    <w:rsid w:val="00FB1E28"/>
    <w:rsid w:val="00FD2092"/>
    <w:rsid w:val="00FD3FCD"/>
    <w:rsid w:val="00FE0D5F"/>
    <w:rsid w:val="00FF22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2FDFF9"/>
  <w15:chartTrackingRefBased/>
  <w15:docId w15:val="{BC984C03-DEE7-4270-84EF-31AE1052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color w:val="262626"/>
        <w:lang w:val="nl-NL" w:eastAsia="nl-NL"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E0B"/>
    <w:pPr>
      <w:spacing w:line="288" w:lineRule="auto"/>
    </w:pPr>
  </w:style>
  <w:style w:type="paragraph" w:styleId="Heading1">
    <w:name w:val="heading 1"/>
    <w:basedOn w:val="Normal"/>
    <w:next w:val="Normal"/>
    <w:autoRedefine/>
    <w:qFormat/>
    <w:rsid w:val="00853BC5"/>
    <w:pPr>
      <w:keepNext/>
      <w:pageBreakBefore/>
      <w:numPr>
        <w:numId w:val="22"/>
      </w:numPr>
      <w:spacing w:before="240" w:after="480"/>
      <w:outlineLvl w:val="0"/>
    </w:pPr>
    <w:rPr>
      <w:b/>
      <w:kern w:val="28"/>
      <w:sz w:val="26"/>
    </w:rPr>
  </w:style>
  <w:style w:type="paragraph" w:styleId="Heading2">
    <w:name w:val="heading 2"/>
    <w:basedOn w:val="Normal"/>
    <w:next w:val="Normal"/>
    <w:autoRedefine/>
    <w:qFormat/>
    <w:rsid w:val="00853BC5"/>
    <w:pPr>
      <w:keepNext/>
      <w:spacing w:before="240" w:after="60"/>
      <w:outlineLvl w:val="1"/>
    </w:pPr>
    <w:rPr>
      <w:b/>
      <w:sz w:val="22"/>
    </w:rPr>
  </w:style>
  <w:style w:type="paragraph" w:styleId="Heading3">
    <w:name w:val="heading 3"/>
    <w:basedOn w:val="Normal"/>
    <w:next w:val="Normal"/>
    <w:autoRedefine/>
    <w:qFormat/>
    <w:rsid w:val="00853BC5"/>
    <w:pPr>
      <w:keepNext/>
      <w:numPr>
        <w:ilvl w:val="2"/>
        <w:numId w:val="22"/>
      </w:numPr>
      <w:spacing w:before="600"/>
      <w:outlineLvl w:val="2"/>
    </w:pPr>
    <w:rPr>
      <w:b/>
    </w:rPr>
  </w:style>
  <w:style w:type="paragraph" w:styleId="Heading4">
    <w:name w:val="heading 4"/>
    <w:basedOn w:val="Normal"/>
    <w:next w:val="Normal"/>
    <w:autoRedefine/>
    <w:qFormat/>
    <w:rsid w:val="00853BC5"/>
    <w:pPr>
      <w:keepNext/>
      <w:spacing w:before="240" w:after="60"/>
      <w:outlineLvl w:val="3"/>
    </w:pPr>
    <w:rPr>
      <w:i/>
    </w:rPr>
  </w:style>
  <w:style w:type="paragraph" w:styleId="Heading5">
    <w:name w:val="heading 5"/>
    <w:basedOn w:val="Normal"/>
    <w:next w:val="Normal"/>
    <w:autoRedefine/>
    <w:qFormat/>
    <w:rsid w:val="00D01952"/>
    <w:pPr>
      <w:numPr>
        <w:ilvl w:val="4"/>
        <w:numId w:val="20"/>
      </w:numPr>
      <w:outlineLvl w:val="4"/>
    </w:pPr>
    <w:rPr>
      <w:b/>
      <w:bCs/>
      <w:iCs/>
      <w:sz w:val="26"/>
      <w:szCs w:val="26"/>
    </w:rPr>
  </w:style>
  <w:style w:type="paragraph" w:styleId="Heading6">
    <w:name w:val="heading 6"/>
    <w:basedOn w:val="Normal"/>
    <w:next w:val="Normal"/>
    <w:qFormat/>
    <w:rsid w:val="006321E7"/>
    <w:pPr>
      <w:numPr>
        <w:ilvl w:val="5"/>
        <w:numId w:val="22"/>
      </w:numPr>
      <w:spacing w:after="240"/>
      <w:outlineLvl w:val="5"/>
    </w:pPr>
    <w:rPr>
      <w:b/>
      <w:sz w:val="22"/>
    </w:rPr>
  </w:style>
  <w:style w:type="paragraph" w:styleId="Heading7">
    <w:name w:val="heading 7"/>
    <w:basedOn w:val="Normal"/>
    <w:next w:val="Normal"/>
    <w:qFormat/>
    <w:rsid w:val="006321E7"/>
    <w:pPr>
      <w:numPr>
        <w:ilvl w:val="6"/>
        <w:numId w:val="22"/>
      </w:numPr>
      <w:outlineLvl w:val="6"/>
    </w:pPr>
    <w:rPr>
      <w:b/>
    </w:rPr>
  </w:style>
  <w:style w:type="paragraph" w:styleId="Heading8">
    <w:name w:val="heading 8"/>
    <w:basedOn w:val="Normal"/>
    <w:next w:val="Normal"/>
    <w:qFormat/>
    <w:rsid w:val="006321E7"/>
    <w:pPr>
      <w:numPr>
        <w:ilvl w:val="7"/>
        <w:numId w:val="22"/>
      </w:numPr>
      <w:outlineLvl w:val="7"/>
    </w:pPr>
  </w:style>
  <w:style w:type="paragraph" w:styleId="Heading9">
    <w:name w:val="heading 9"/>
    <w:basedOn w:val="Normal"/>
    <w:next w:val="Normal"/>
    <w:qFormat/>
    <w:rsid w:val="00B4715C"/>
    <w:pPr>
      <w:numPr>
        <w:ilvl w:val="8"/>
        <w:numId w:val="2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6321E7"/>
    <w:rPr>
      <w:b/>
      <w:bCs/>
    </w:rPr>
  </w:style>
  <w:style w:type="paragraph" w:styleId="TOAHeading">
    <w:name w:val="toa heading"/>
    <w:basedOn w:val="Normal"/>
    <w:next w:val="Normal"/>
    <w:semiHidden/>
    <w:rsid w:val="00B4715C"/>
    <w:pPr>
      <w:spacing w:before="120"/>
    </w:pPr>
    <w:rPr>
      <w:b/>
      <w:sz w:val="24"/>
    </w:rPr>
  </w:style>
  <w:style w:type="paragraph" w:styleId="FootnoteText">
    <w:name w:val="footnote text"/>
    <w:basedOn w:val="Normal"/>
    <w:autoRedefine/>
    <w:semiHidden/>
    <w:rsid w:val="00425DA4"/>
    <w:pPr>
      <w:numPr>
        <w:numId w:val="13"/>
      </w:numPr>
    </w:pPr>
    <w:rPr>
      <w:sz w:val="16"/>
    </w:rPr>
  </w:style>
  <w:style w:type="character" w:styleId="FootnoteReference">
    <w:name w:val="footnote reference"/>
    <w:basedOn w:val="DefaultParagraphFont"/>
    <w:semiHidden/>
    <w:rsid w:val="00B4715C"/>
    <w:rPr>
      <w:rFonts w:ascii="Univers" w:hAnsi="Univers"/>
      <w:vertAlign w:val="superscript"/>
    </w:rPr>
  </w:style>
  <w:style w:type="paragraph" w:styleId="Header">
    <w:name w:val="header"/>
    <w:basedOn w:val="Normal"/>
    <w:rsid w:val="00B4715C"/>
    <w:pPr>
      <w:tabs>
        <w:tab w:val="center" w:pos="4536"/>
        <w:tab w:val="right" w:pos="9072"/>
      </w:tabs>
      <w:spacing w:line="240" w:lineRule="auto"/>
    </w:pPr>
  </w:style>
  <w:style w:type="paragraph" w:styleId="Footer">
    <w:name w:val="footer"/>
    <w:basedOn w:val="Normal"/>
    <w:autoRedefine/>
    <w:rsid w:val="00800874"/>
    <w:pPr>
      <w:tabs>
        <w:tab w:val="right" w:pos="9185"/>
      </w:tabs>
    </w:pPr>
    <w:rPr>
      <w:sz w:val="16"/>
    </w:rPr>
  </w:style>
  <w:style w:type="character" w:styleId="PageNumber">
    <w:name w:val="page number"/>
    <w:basedOn w:val="DefaultParagraphFont"/>
    <w:rsid w:val="00B4715C"/>
    <w:rPr>
      <w:rFonts w:ascii="Arial" w:hAnsi="Arial"/>
      <w:sz w:val="14"/>
    </w:rPr>
  </w:style>
  <w:style w:type="table" w:customStyle="1" w:styleId="LBP">
    <w:name w:val="LBP"/>
    <w:basedOn w:val="TableNormal"/>
    <w:rsid w:val="0004622E"/>
    <w:pPr>
      <w:jc w:val="center"/>
    </w:pPr>
    <w:rPr>
      <w:sz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tblPr/>
      <w:tcPr>
        <w:tcBorders>
          <w:bottom w:val="double" w:sz="4" w:space="0" w:color="auto"/>
        </w:tcBorders>
      </w:tcPr>
    </w:tblStylePr>
    <w:tblStylePr w:type="firstCol">
      <w:pPr>
        <w:jc w:val="left"/>
      </w:pPr>
      <w:rPr>
        <w:rFonts w:ascii="Arial" w:hAnsi="Arial"/>
      </w:rPr>
      <w:tblPr/>
      <w:tcPr>
        <w:tcBorders>
          <w:right w:val="double" w:sz="4" w:space="0" w:color="auto"/>
        </w:tcBorders>
      </w:tcPr>
    </w:tblStylePr>
  </w:style>
  <w:style w:type="paragraph" w:customStyle="1" w:styleId="TabelIL">
    <w:name w:val="Tabel IL"/>
    <w:basedOn w:val="Normal"/>
    <w:rsid w:val="00B4715C"/>
    <w:rPr>
      <w:rFonts w:ascii="Letter Gothic MT" w:hAnsi="Letter Gothic MT"/>
      <w:spacing w:val="-16"/>
      <w:sz w:val="13"/>
    </w:rPr>
  </w:style>
  <w:style w:type="paragraph" w:styleId="TOC2">
    <w:name w:val="toc 2"/>
    <w:basedOn w:val="Normal"/>
    <w:next w:val="Normal"/>
    <w:autoRedefine/>
    <w:semiHidden/>
    <w:rsid w:val="00B4715C"/>
    <w:pPr>
      <w:ind w:left="170"/>
    </w:pPr>
    <w:rPr>
      <w:noProof/>
    </w:rPr>
  </w:style>
  <w:style w:type="character" w:styleId="CommentReference">
    <w:name w:val="annotation reference"/>
    <w:basedOn w:val="DefaultParagraphFont"/>
    <w:semiHidden/>
    <w:rsid w:val="00B4715C"/>
    <w:rPr>
      <w:rFonts w:ascii="Univers" w:hAnsi="Univers"/>
      <w:sz w:val="16"/>
    </w:rPr>
  </w:style>
  <w:style w:type="paragraph" w:styleId="Title">
    <w:name w:val="Title"/>
    <w:basedOn w:val="Normal"/>
    <w:next w:val="Subtitle"/>
    <w:qFormat/>
    <w:rsid w:val="00283D4C"/>
    <w:pPr>
      <w:ind w:left="2835"/>
    </w:pPr>
    <w:rPr>
      <w:rFonts w:cs="Arial"/>
      <w:b/>
      <w:bCs/>
      <w:sz w:val="26"/>
      <w:szCs w:val="32"/>
    </w:rPr>
  </w:style>
  <w:style w:type="paragraph" w:styleId="Subtitle">
    <w:name w:val="Subtitle"/>
    <w:basedOn w:val="Normal"/>
    <w:next w:val="Normal"/>
    <w:qFormat/>
    <w:rsid w:val="00283D4C"/>
    <w:pPr>
      <w:ind w:left="2835"/>
    </w:pPr>
    <w:rPr>
      <w:rFonts w:cs="Arial"/>
      <w:b/>
      <w:color w:val="808080"/>
      <w:sz w:val="22"/>
    </w:rPr>
  </w:style>
  <w:style w:type="paragraph" w:styleId="DocumentMap">
    <w:name w:val="Document Map"/>
    <w:basedOn w:val="Normal"/>
    <w:semiHidden/>
    <w:rsid w:val="00B4715C"/>
    <w:pPr>
      <w:shd w:val="clear" w:color="auto" w:fill="000080"/>
    </w:pPr>
    <w:rPr>
      <w:rFonts w:ascii="Tahoma" w:hAnsi="Tahoma"/>
    </w:rPr>
  </w:style>
  <w:style w:type="table" w:customStyle="1" w:styleId="lbp0">
    <w:name w:val="lbp"/>
    <w:basedOn w:val="TableNormal"/>
    <w:rsid w:val="00A830A3"/>
    <w:pPr>
      <w:jc w:val="center"/>
    </w:pPr>
    <w:rPr>
      <w:sz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tblPr/>
      <w:tcPr>
        <w:tcBorders>
          <w:bottom w:val="double" w:sz="4" w:space="0" w:color="auto"/>
        </w:tcBorders>
      </w:tcPr>
    </w:tblStylePr>
    <w:tblStylePr w:type="firstCol">
      <w:pPr>
        <w:jc w:val="left"/>
      </w:pPr>
      <w:tblPr/>
      <w:tcPr>
        <w:tcBorders>
          <w:right w:val="double" w:sz="4" w:space="0" w:color="auto"/>
        </w:tcBorders>
      </w:tcPr>
    </w:tblStylePr>
  </w:style>
  <w:style w:type="paragraph" w:styleId="TOC4">
    <w:name w:val="toc 4"/>
    <w:basedOn w:val="Normal"/>
    <w:next w:val="Normal"/>
    <w:autoRedefine/>
    <w:semiHidden/>
    <w:rsid w:val="00A262A6"/>
    <w:pPr>
      <w:tabs>
        <w:tab w:val="left" w:pos="992"/>
      </w:tabs>
    </w:pPr>
  </w:style>
  <w:style w:type="paragraph" w:styleId="TOC1">
    <w:name w:val="toc 1"/>
    <w:basedOn w:val="Normal"/>
    <w:next w:val="Normal"/>
    <w:autoRedefine/>
    <w:semiHidden/>
    <w:rsid w:val="00B4715C"/>
    <w:pPr>
      <w:spacing w:before="120" w:after="120"/>
    </w:pPr>
    <w:rPr>
      <w:b/>
      <w:noProof/>
    </w:rPr>
  </w:style>
  <w:style w:type="paragraph" w:styleId="TOC3">
    <w:name w:val="toc 3"/>
    <w:basedOn w:val="Normal"/>
    <w:next w:val="Normal"/>
    <w:autoRedefine/>
    <w:semiHidden/>
    <w:rsid w:val="00B4715C"/>
    <w:pPr>
      <w:ind w:left="510"/>
    </w:pPr>
    <w:rPr>
      <w:noProof/>
    </w:rPr>
  </w:style>
  <w:style w:type="paragraph" w:customStyle="1" w:styleId="TabelCelKolom1">
    <w:name w:val="TabelCelKolom1"/>
    <w:basedOn w:val="Normal"/>
    <w:autoRedefine/>
    <w:rsid w:val="001F35A6"/>
    <w:pPr>
      <w:ind w:left="181"/>
    </w:pPr>
    <w:rPr>
      <w:sz w:val="16"/>
    </w:rPr>
  </w:style>
  <w:style w:type="paragraph" w:customStyle="1" w:styleId="TabelCelKolom2">
    <w:name w:val="TabelCelKolom2"/>
    <w:basedOn w:val="Normal"/>
    <w:autoRedefine/>
    <w:rsid w:val="001F35A6"/>
    <w:pPr>
      <w:ind w:left="181"/>
      <w:jc w:val="center"/>
    </w:pPr>
    <w:rPr>
      <w:sz w:val="16"/>
    </w:rPr>
  </w:style>
  <w:style w:type="paragraph" w:customStyle="1" w:styleId="inhoudsopgave5">
    <w:name w:val="inhoudsopgave5"/>
    <w:basedOn w:val="Normal"/>
    <w:next w:val="Normal"/>
    <w:autoRedefine/>
    <w:rsid w:val="001F35A6"/>
    <w:pPr>
      <w:tabs>
        <w:tab w:val="right" w:pos="1701"/>
      </w:tabs>
    </w:pPr>
    <w:rPr>
      <w:szCs w:val="24"/>
    </w:rPr>
  </w:style>
  <w:style w:type="character" w:customStyle="1" w:styleId="grijsgrootvet">
    <w:name w:val="grijsgrootvet"/>
    <w:basedOn w:val="DefaultParagraphFont"/>
    <w:rsid w:val="006321E7"/>
    <w:rPr>
      <w:color w:val="808080"/>
      <w:sz w:val="22"/>
    </w:rPr>
  </w:style>
  <w:style w:type="paragraph" w:customStyle="1" w:styleId="Voorbladgrijs">
    <w:name w:val="Voorbladgrijs"/>
    <w:basedOn w:val="Voorblad"/>
    <w:next w:val="Voorblad"/>
    <w:rsid w:val="00283D4C"/>
    <w:rPr>
      <w:color w:val="808080"/>
    </w:rPr>
  </w:style>
  <w:style w:type="paragraph" w:customStyle="1" w:styleId="Voorblad">
    <w:name w:val="Voorblad"/>
    <w:basedOn w:val="Normal"/>
    <w:rsid w:val="00283D4C"/>
    <w:pPr>
      <w:ind w:left="2835"/>
    </w:pPr>
  </w:style>
  <w:style w:type="paragraph" w:customStyle="1" w:styleId="Inhoud">
    <w:name w:val="Inhoud"/>
    <w:basedOn w:val="Normal"/>
    <w:next w:val="Normal"/>
    <w:autoRedefine/>
    <w:rsid w:val="00D01952"/>
    <w:pPr>
      <w:spacing w:before="240" w:after="240"/>
    </w:pPr>
    <w:rPr>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14156">
      <w:bodyDiv w:val="1"/>
      <w:marLeft w:val="0"/>
      <w:marRight w:val="0"/>
      <w:marTop w:val="0"/>
      <w:marBottom w:val="0"/>
      <w:divBdr>
        <w:top w:val="none" w:sz="0" w:space="0" w:color="auto"/>
        <w:left w:val="none" w:sz="0" w:space="0" w:color="auto"/>
        <w:bottom w:val="none" w:sz="0" w:space="0" w:color="auto"/>
        <w:right w:val="none" w:sz="0" w:space="0" w:color="auto"/>
      </w:divBdr>
    </w:div>
    <w:div w:id="605577987">
      <w:bodyDiv w:val="1"/>
      <w:marLeft w:val="0"/>
      <w:marRight w:val="0"/>
      <w:marTop w:val="0"/>
      <w:marBottom w:val="0"/>
      <w:divBdr>
        <w:top w:val="none" w:sz="0" w:space="0" w:color="auto"/>
        <w:left w:val="none" w:sz="0" w:space="0" w:color="auto"/>
        <w:bottom w:val="none" w:sz="0" w:space="0" w:color="auto"/>
        <w:right w:val="none" w:sz="0" w:space="0" w:color="auto"/>
      </w:divBdr>
    </w:div>
    <w:div w:id="1012148327">
      <w:bodyDiv w:val="1"/>
      <w:marLeft w:val="0"/>
      <w:marRight w:val="0"/>
      <w:marTop w:val="0"/>
      <w:marBottom w:val="0"/>
      <w:divBdr>
        <w:top w:val="none" w:sz="0" w:space="0" w:color="auto"/>
        <w:left w:val="none" w:sz="0" w:space="0" w:color="auto"/>
        <w:bottom w:val="none" w:sz="0" w:space="0" w:color="auto"/>
        <w:right w:val="none" w:sz="0" w:space="0" w:color="auto"/>
      </w:divBdr>
    </w:div>
    <w:div w:id="1229654258">
      <w:bodyDiv w:val="1"/>
      <w:marLeft w:val="0"/>
      <w:marRight w:val="0"/>
      <w:marTop w:val="0"/>
      <w:marBottom w:val="0"/>
      <w:divBdr>
        <w:top w:val="none" w:sz="0" w:space="0" w:color="auto"/>
        <w:left w:val="none" w:sz="0" w:space="0" w:color="auto"/>
        <w:bottom w:val="none" w:sz="0" w:space="0" w:color="auto"/>
        <w:right w:val="none" w:sz="0" w:space="0" w:color="auto"/>
      </w:divBdr>
    </w:div>
    <w:div w:id="1284380777">
      <w:bodyDiv w:val="1"/>
      <w:marLeft w:val="0"/>
      <w:marRight w:val="0"/>
      <w:marTop w:val="0"/>
      <w:marBottom w:val="0"/>
      <w:divBdr>
        <w:top w:val="none" w:sz="0" w:space="0" w:color="auto"/>
        <w:left w:val="none" w:sz="0" w:space="0" w:color="auto"/>
        <w:bottom w:val="none" w:sz="0" w:space="0" w:color="auto"/>
        <w:right w:val="none" w:sz="0" w:space="0" w:color="auto"/>
      </w:divBdr>
    </w:div>
    <w:div w:id="1341543314">
      <w:bodyDiv w:val="1"/>
      <w:marLeft w:val="0"/>
      <w:marRight w:val="0"/>
      <w:marTop w:val="0"/>
      <w:marBottom w:val="0"/>
      <w:divBdr>
        <w:top w:val="none" w:sz="0" w:space="0" w:color="auto"/>
        <w:left w:val="none" w:sz="0" w:space="0" w:color="auto"/>
        <w:bottom w:val="none" w:sz="0" w:space="0" w:color="auto"/>
        <w:right w:val="none" w:sz="0" w:space="0" w:color="auto"/>
      </w:divBdr>
    </w:div>
    <w:div w:id="1498619496">
      <w:bodyDiv w:val="1"/>
      <w:marLeft w:val="0"/>
      <w:marRight w:val="0"/>
      <w:marTop w:val="0"/>
      <w:marBottom w:val="0"/>
      <w:divBdr>
        <w:top w:val="none" w:sz="0" w:space="0" w:color="auto"/>
        <w:left w:val="none" w:sz="0" w:space="0" w:color="auto"/>
        <w:bottom w:val="none" w:sz="0" w:space="0" w:color="auto"/>
        <w:right w:val="none" w:sz="0" w:space="0" w:color="auto"/>
      </w:divBdr>
    </w:div>
    <w:div w:id="204940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png"/><Relationship Id="rId10"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oleObject" Target="file:///\\fs02\projecten\076\076390ao\4.%20Werkmap%20LBPSIGHT\Resultaten%20Simapro_rapportage\Overzicht%20milieuscores%20en%20schaduwkoste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nl-NL"/>
              <a:t> CO2 eq. (kg)</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bar"/>
        <c:grouping val="clustered"/>
        <c:varyColors val="0"/>
        <c:ser>
          <c:idx val="0"/>
          <c:order val="0"/>
          <c:tx>
            <c:strRef>
              <c:f>Blad1!$C$9</c:f>
              <c:strCache>
                <c:ptCount val="1"/>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Blad1!$B$10:$B$13</c:f>
              <c:strCache>
                <c:ptCount val="4"/>
                <c:pt idx="0">
                  <c:v>co2 eq. installatie (kg)</c:v>
                </c:pt>
                <c:pt idx="1">
                  <c:v>delta ten gevolge van aardgasbesparing (m3)</c:v>
                </c:pt>
                <c:pt idx="2">
                  <c:v>delta ten gevolge van stijging electra (kWh)</c:v>
                </c:pt>
                <c:pt idx="3">
                  <c:v>CO2 balans over 25 jaar</c:v>
                </c:pt>
              </c:strCache>
            </c:strRef>
          </c:cat>
          <c:val>
            <c:numRef>
              <c:f>Blad1!$C$10:$C$13</c:f>
            </c:numRef>
          </c:val>
        </c:ser>
        <c:ser>
          <c:idx val="1"/>
          <c:order val="1"/>
          <c:tx>
            <c:strRef>
              <c:f>Blad1!$D$9</c:f>
              <c:strCache>
                <c:ptCount val="1"/>
                <c:pt idx="0">
                  <c:v>omrekenfactor</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Blad1!$B$10:$B$13</c:f>
              <c:strCache>
                <c:ptCount val="4"/>
                <c:pt idx="0">
                  <c:v>co2 eq. installatie (kg)</c:v>
                </c:pt>
                <c:pt idx="1">
                  <c:v>delta ten gevolge van aardgasbesparing (m3)</c:v>
                </c:pt>
                <c:pt idx="2">
                  <c:v>delta ten gevolge van stijging electra (kWh)</c:v>
                </c:pt>
                <c:pt idx="3">
                  <c:v>CO2 balans over 25 jaar</c:v>
                </c:pt>
              </c:strCache>
            </c:strRef>
          </c:cat>
          <c:val>
            <c:numRef>
              <c:f>Blad1!$D$10:$D$13</c:f>
            </c:numRef>
          </c:val>
        </c:ser>
        <c:ser>
          <c:idx val="2"/>
          <c:order val="2"/>
          <c:tx>
            <c:strRef>
              <c:f>Blad1!$E$9</c:f>
              <c:strCache>
                <c:ptCount val="1"/>
                <c:pt idx="0">
                  <c:v>CO2 eq.</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Blad1!$B$10:$B$13</c:f>
              <c:strCache>
                <c:ptCount val="4"/>
                <c:pt idx="0">
                  <c:v>co2 eq. installatie (kg)</c:v>
                </c:pt>
                <c:pt idx="1">
                  <c:v>delta ten gevolge van aardgasbesparing (m3)</c:v>
                </c:pt>
                <c:pt idx="2">
                  <c:v>delta ten gevolge van stijging electra (kWh)</c:v>
                </c:pt>
                <c:pt idx="3">
                  <c:v>CO2 balans over 25 jaar</c:v>
                </c:pt>
              </c:strCache>
            </c:strRef>
          </c:cat>
          <c:val>
            <c:numRef>
              <c:f>Blad1!$E$10:$E$13</c:f>
              <c:numCache>
                <c:formatCode>General</c:formatCode>
                <c:ptCount val="4"/>
                <c:pt idx="0">
                  <c:v>5550.0</c:v>
                </c:pt>
                <c:pt idx="1">
                  <c:v>-475239.0</c:v>
                </c:pt>
                <c:pt idx="2">
                  <c:v>18957.0</c:v>
                </c:pt>
                <c:pt idx="3">
                  <c:v>-450732.0</c:v>
                </c:pt>
              </c:numCache>
            </c:numRef>
          </c:val>
        </c:ser>
        <c:dLbls>
          <c:dLblPos val="inEnd"/>
          <c:showLegendKey val="0"/>
          <c:showVal val="1"/>
          <c:showCatName val="0"/>
          <c:showSerName val="0"/>
          <c:showPercent val="0"/>
          <c:showBubbleSize val="0"/>
        </c:dLbls>
        <c:gapWidth val="65"/>
        <c:axId val="-2045354928"/>
        <c:axId val="-2142786832"/>
      </c:barChart>
      <c:catAx>
        <c:axId val="-2045354928"/>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142786832"/>
        <c:crosses val="autoZero"/>
        <c:auto val="1"/>
        <c:lblAlgn val="ctr"/>
        <c:lblOffset val="100"/>
        <c:noMultiLvlLbl val="0"/>
      </c:catAx>
      <c:valAx>
        <c:axId val="-2142786832"/>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2045354928"/>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E9EF8-BF6A-DB43-89DD-0697A84F5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1462</Words>
  <Characters>8336</Characters>
  <Application>Microsoft Macintosh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Jeannette Levels-Vermeer</dc:creator>
  <cp:keywords/>
  <dc:description/>
  <cp:lastModifiedBy>Microsoft Office User</cp:lastModifiedBy>
  <cp:revision>3</cp:revision>
  <dcterms:created xsi:type="dcterms:W3CDTF">2016-07-19T12:16:00Z</dcterms:created>
  <dcterms:modified xsi:type="dcterms:W3CDTF">2016-07-19T12:30:00Z</dcterms:modified>
</cp:coreProperties>
</file>